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048" w:rsidRDefault="00EC33CF">
      <w:pPr>
        <w:spacing w:line="240" w:lineRule="atLeast"/>
        <w:jc w:val="both"/>
        <w:rPr>
          <w:sz w:val="20"/>
        </w:rPr>
      </w:pPr>
      <w:bookmarkStart w:id="0" w:name="_GoBack"/>
      <w:r>
        <w:rPr>
          <w:b/>
          <w:sz w:val="20"/>
        </w:rPr>
        <w:t xml:space="preserve">Modeling </w:t>
      </w:r>
      <w:proofErr w:type="spellStart"/>
      <w:r w:rsidR="00AC783C">
        <w:rPr>
          <w:b/>
          <w:sz w:val="20"/>
        </w:rPr>
        <w:t>NiO</w:t>
      </w:r>
      <w:proofErr w:type="spellEnd"/>
      <w:r w:rsidR="00AC783C">
        <w:rPr>
          <w:b/>
          <w:sz w:val="20"/>
        </w:rPr>
        <w:t xml:space="preserve"> Activities in Silicate Melts Considering Separate Contributions from Ni</w:t>
      </w:r>
      <w:r w:rsidR="00AC783C" w:rsidRPr="00AC783C">
        <w:rPr>
          <w:b/>
          <w:sz w:val="20"/>
          <w:vertAlign w:val="superscript"/>
        </w:rPr>
        <w:t>2+</w:t>
      </w:r>
      <w:r w:rsidR="00AC783C">
        <w:rPr>
          <w:b/>
          <w:sz w:val="20"/>
        </w:rPr>
        <w:t xml:space="preserve"> and O</w:t>
      </w:r>
      <w:r w:rsidR="00AC783C" w:rsidRPr="00AC783C">
        <w:rPr>
          <w:b/>
          <w:sz w:val="20"/>
          <w:vertAlign w:val="superscript"/>
        </w:rPr>
        <w:t>2-</w:t>
      </w:r>
      <w:r w:rsidR="00270F5C">
        <w:rPr>
          <w:b/>
          <w:sz w:val="20"/>
        </w:rPr>
        <w:t>:</w:t>
      </w:r>
      <w:r w:rsidR="00A208D7">
        <w:rPr>
          <w:b/>
          <w:sz w:val="20"/>
          <w:vertAlign w:val="superscript"/>
        </w:rPr>
        <w:t xml:space="preserve">  </w:t>
      </w:r>
      <w:r w:rsidR="00A208D7" w:rsidRPr="00A208D7">
        <w:rPr>
          <w:b/>
          <w:sz w:val="20"/>
        </w:rPr>
        <w:t>Dependence of O</w:t>
      </w:r>
      <w:r w:rsidR="00A208D7" w:rsidRPr="00A208D7">
        <w:rPr>
          <w:b/>
          <w:sz w:val="20"/>
          <w:vertAlign w:val="superscript"/>
        </w:rPr>
        <w:t>2-</w:t>
      </w:r>
      <w:r w:rsidR="00A208D7" w:rsidRPr="00A208D7">
        <w:rPr>
          <w:b/>
          <w:sz w:val="20"/>
        </w:rPr>
        <w:t xml:space="preserve"> on melt polymerization</w:t>
      </w:r>
      <w:bookmarkEnd w:id="0"/>
      <w:r w:rsidR="00694048">
        <w:rPr>
          <w:b/>
          <w:sz w:val="20"/>
        </w:rPr>
        <w:t>.</w:t>
      </w:r>
      <w:r w:rsidR="00694048">
        <w:rPr>
          <w:sz w:val="20"/>
        </w:rPr>
        <w:t xml:space="preserve">  </w:t>
      </w:r>
      <w:r w:rsidR="002B0114">
        <w:rPr>
          <w:sz w:val="20"/>
        </w:rPr>
        <w:t>L</w:t>
      </w:r>
      <w:r w:rsidR="00AA078A">
        <w:rPr>
          <w:sz w:val="20"/>
        </w:rPr>
        <w:t>.</w:t>
      </w:r>
      <w:r w:rsidR="002B0114">
        <w:rPr>
          <w:sz w:val="20"/>
        </w:rPr>
        <w:t xml:space="preserve"> Anderson</w:t>
      </w:r>
      <w:r w:rsidR="002B0114">
        <w:rPr>
          <w:sz w:val="20"/>
          <w:vertAlign w:val="superscript"/>
        </w:rPr>
        <w:t>1</w:t>
      </w:r>
      <w:r w:rsidR="002B0114">
        <w:rPr>
          <w:sz w:val="20"/>
        </w:rPr>
        <w:t>, E. Young</w:t>
      </w:r>
      <w:r w:rsidR="002B0114">
        <w:rPr>
          <w:sz w:val="20"/>
          <w:vertAlign w:val="superscript"/>
        </w:rPr>
        <w:t>1</w:t>
      </w:r>
      <w:r w:rsidR="002B0114">
        <w:rPr>
          <w:sz w:val="20"/>
        </w:rPr>
        <w:t>, and R. O. Colson</w:t>
      </w:r>
      <w:r w:rsidR="002B0114">
        <w:rPr>
          <w:sz w:val="20"/>
          <w:vertAlign w:val="superscript"/>
        </w:rPr>
        <w:t>1, 2</w:t>
      </w:r>
      <w:r w:rsidR="00694048">
        <w:rPr>
          <w:sz w:val="20"/>
        </w:rPr>
        <w:t xml:space="preserve">, </w:t>
      </w:r>
      <w:r w:rsidR="00694048">
        <w:rPr>
          <w:sz w:val="20"/>
          <w:vertAlign w:val="superscript"/>
        </w:rPr>
        <w:t>1</w:t>
      </w:r>
      <w:r w:rsidR="002B0114">
        <w:rPr>
          <w:sz w:val="20"/>
        </w:rPr>
        <w:t xml:space="preserve">Minnesota State University Moorhead, Moorhead MN, </w:t>
      </w:r>
      <w:r w:rsidR="002B0114" w:rsidRPr="002B0114">
        <w:rPr>
          <w:sz w:val="20"/>
          <w:vertAlign w:val="superscript"/>
        </w:rPr>
        <w:t>2</w:t>
      </w:r>
      <w:r w:rsidR="002B0114">
        <w:rPr>
          <w:sz w:val="20"/>
        </w:rPr>
        <w:t>colson@mnstate.edu</w:t>
      </w:r>
      <w:r w:rsidR="00694048">
        <w:rPr>
          <w:sz w:val="20"/>
        </w:rPr>
        <w:t>.</w:t>
      </w:r>
    </w:p>
    <w:p w:rsidR="00694048" w:rsidRDefault="00694048">
      <w:pPr>
        <w:spacing w:line="240" w:lineRule="atLeast"/>
        <w:ind w:firstLine="288"/>
        <w:jc w:val="both"/>
        <w:rPr>
          <w:sz w:val="20"/>
        </w:rPr>
      </w:pPr>
    </w:p>
    <w:p w:rsidR="00694048" w:rsidRDefault="00694048">
      <w:pPr>
        <w:spacing w:line="240" w:lineRule="atLeast"/>
        <w:ind w:firstLine="288"/>
        <w:jc w:val="both"/>
        <w:rPr>
          <w:sz w:val="20"/>
        </w:rPr>
      </w:pPr>
    </w:p>
    <w:p w:rsidR="00694048" w:rsidRDefault="00694048">
      <w:pPr>
        <w:spacing w:line="240" w:lineRule="atLeast"/>
        <w:ind w:firstLine="288"/>
        <w:jc w:val="both"/>
        <w:rPr>
          <w:sz w:val="20"/>
        </w:rPr>
        <w:sectPr w:rsidR="0069404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sectPr>
      </w:pPr>
    </w:p>
    <w:p w:rsidR="00A26516" w:rsidRDefault="00694048" w:rsidP="00A26516">
      <w:pPr>
        <w:spacing w:line="240" w:lineRule="atLeast"/>
        <w:ind w:firstLine="288"/>
        <w:jc w:val="both"/>
        <w:rPr>
          <w:sz w:val="20"/>
        </w:rPr>
      </w:pPr>
      <w:r w:rsidRPr="00243542">
        <w:rPr>
          <w:b/>
          <w:sz w:val="20"/>
        </w:rPr>
        <w:lastRenderedPageBreak/>
        <w:t>Introduction:</w:t>
      </w:r>
      <w:r w:rsidRPr="00243542">
        <w:rPr>
          <w:sz w:val="20"/>
        </w:rPr>
        <w:t xml:space="preserve">  </w:t>
      </w:r>
      <w:r w:rsidR="00621148">
        <w:rPr>
          <w:sz w:val="20"/>
        </w:rPr>
        <w:t>P</w:t>
      </w:r>
      <w:r w:rsidR="00A26516">
        <w:rPr>
          <w:sz w:val="20"/>
        </w:rPr>
        <w:t xml:space="preserve">artition coefficients for trace element components in silicate melts depend on activity coefficients in the melt.  These activity coefficients vary with composition in complex ways.  We have previously proposed that modeling of trace element activities might be improved if the oxide component is modeled as the composite of separate activities for </w:t>
      </w:r>
      <w:proofErr w:type="spellStart"/>
      <w:r w:rsidR="00A26516">
        <w:rPr>
          <w:sz w:val="20"/>
        </w:rPr>
        <w:t>cation</w:t>
      </w:r>
      <w:proofErr w:type="spellEnd"/>
      <w:r w:rsidR="00A26516">
        <w:rPr>
          <w:sz w:val="20"/>
        </w:rPr>
        <w:t xml:space="preserve"> and oxide anion</w:t>
      </w:r>
      <w:r w:rsidR="0070028D">
        <w:rPr>
          <w:sz w:val="20"/>
        </w:rPr>
        <w:t xml:space="preserve"> [</w:t>
      </w:r>
      <w:r w:rsidR="00E53772">
        <w:rPr>
          <w:sz w:val="20"/>
        </w:rPr>
        <w:t>1, 2</w:t>
      </w:r>
      <w:r w:rsidR="0070028D">
        <w:rPr>
          <w:sz w:val="20"/>
        </w:rPr>
        <w:t>]</w:t>
      </w:r>
      <w:r w:rsidR="00A26516">
        <w:rPr>
          <w:sz w:val="20"/>
        </w:rPr>
        <w:t xml:space="preserve">. </w:t>
      </w:r>
    </w:p>
    <w:p w:rsidR="005032B0" w:rsidRPr="00243542" w:rsidRDefault="00A26516" w:rsidP="001D213C">
      <w:pPr>
        <w:spacing w:line="240" w:lineRule="atLeast"/>
        <w:ind w:firstLine="288"/>
        <w:jc w:val="both"/>
        <w:rPr>
          <w:sz w:val="20"/>
        </w:rPr>
      </w:pPr>
      <w:r>
        <w:rPr>
          <w:sz w:val="20"/>
        </w:rPr>
        <w:t>O</w:t>
      </w:r>
      <w:r w:rsidR="0070028D">
        <w:rPr>
          <w:sz w:val="20"/>
        </w:rPr>
        <w:t>u</w:t>
      </w:r>
      <w:r>
        <w:rPr>
          <w:sz w:val="20"/>
        </w:rPr>
        <w:t xml:space="preserve">r modeling in this way has been </w:t>
      </w:r>
      <w:r w:rsidR="007C2486">
        <w:rPr>
          <w:sz w:val="20"/>
        </w:rPr>
        <w:t>quite</w:t>
      </w:r>
      <w:r>
        <w:rPr>
          <w:sz w:val="20"/>
        </w:rPr>
        <w:t xml:space="preserve"> successful, but we have found that </w:t>
      </w:r>
      <w:r w:rsidR="005032B0">
        <w:rPr>
          <w:sz w:val="20"/>
        </w:rPr>
        <w:t>a few points from the most dep</w:t>
      </w:r>
      <w:r w:rsidR="00AB37C1">
        <w:rPr>
          <w:sz w:val="20"/>
        </w:rPr>
        <w:t>o</w:t>
      </w:r>
      <w:r>
        <w:rPr>
          <w:sz w:val="20"/>
        </w:rPr>
        <w:t>lymerized melts from [</w:t>
      </w:r>
      <w:r w:rsidR="007C2486">
        <w:rPr>
          <w:sz w:val="20"/>
        </w:rPr>
        <w:t>3</w:t>
      </w:r>
      <w:r>
        <w:rPr>
          <w:sz w:val="20"/>
        </w:rPr>
        <w:t xml:space="preserve">] </w:t>
      </w:r>
      <w:r w:rsidR="00342356">
        <w:rPr>
          <w:sz w:val="20"/>
        </w:rPr>
        <w:t>and [</w:t>
      </w:r>
      <w:r w:rsidR="007C2486">
        <w:rPr>
          <w:sz w:val="20"/>
        </w:rPr>
        <w:t>4</w:t>
      </w:r>
      <w:r w:rsidR="00342356">
        <w:rPr>
          <w:sz w:val="20"/>
        </w:rPr>
        <w:t xml:space="preserve">] </w:t>
      </w:r>
      <w:r>
        <w:rPr>
          <w:sz w:val="20"/>
        </w:rPr>
        <w:t>deviate</w:t>
      </w:r>
      <w:r w:rsidR="005032B0">
        <w:rPr>
          <w:sz w:val="20"/>
        </w:rPr>
        <w:t xml:space="preserve"> from the trend</w:t>
      </w:r>
      <w:r>
        <w:rPr>
          <w:sz w:val="20"/>
        </w:rPr>
        <w:t xml:space="preserve"> of other data, suggesting </w:t>
      </w:r>
      <w:proofErr w:type="spellStart"/>
      <w:r>
        <w:rPr>
          <w:sz w:val="20"/>
        </w:rPr>
        <w:t>unmodeled</w:t>
      </w:r>
      <w:proofErr w:type="spellEnd"/>
      <w:r>
        <w:rPr>
          <w:sz w:val="20"/>
        </w:rPr>
        <w:t xml:space="preserve"> variations in depolymerized melts</w:t>
      </w:r>
      <w:r w:rsidR="005032B0">
        <w:rPr>
          <w:sz w:val="20"/>
        </w:rPr>
        <w:t xml:space="preserve">.  We </w:t>
      </w:r>
      <w:r w:rsidR="007C2486">
        <w:rPr>
          <w:sz w:val="20"/>
        </w:rPr>
        <w:t>report here</w:t>
      </w:r>
      <w:r w:rsidR="005032B0">
        <w:rPr>
          <w:sz w:val="20"/>
        </w:rPr>
        <w:t xml:space="preserve"> additional experiments in depolymerized melts to test these results</w:t>
      </w:r>
      <w:r w:rsidR="002E3583">
        <w:rPr>
          <w:sz w:val="20"/>
        </w:rPr>
        <w:t xml:space="preserve"> and</w:t>
      </w:r>
      <w:r>
        <w:rPr>
          <w:sz w:val="20"/>
        </w:rPr>
        <w:t xml:space="preserve"> to understand what might be causing these deviation</w:t>
      </w:r>
      <w:r w:rsidR="00AB37C1">
        <w:rPr>
          <w:sz w:val="20"/>
        </w:rPr>
        <w:t>s</w:t>
      </w:r>
      <w:r>
        <w:rPr>
          <w:sz w:val="20"/>
        </w:rPr>
        <w:t>.</w:t>
      </w:r>
    </w:p>
    <w:p w:rsidR="00D9274C" w:rsidRPr="00243542" w:rsidRDefault="00FC3D77" w:rsidP="00B75EB7">
      <w:pPr>
        <w:spacing w:line="240" w:lineRule="atLeast"/>
        <w:ind w:firstLine="288"/>
        <w:jc w:val="both"/>
        <w:rPr>
          <w:b/>
          <w:sz w:val="20"/>
        </w:rPr>
      </w:pPr>
      <w:r w:rsidRPr="00243542">
        <w:rPr>
          <w:b/>
          <w:sz w:val="20"/>
        </w:rPr>
        <w:t>Experimental</w:t>
      </w:r>
      <w:r w:rsidR="00AC783C">
        <w:rPr>
          <w:b/>
          <w:sz w:val="20"/>
        </w:rPr>
        <w:t xml:space="preserve"> </w:t>
      </w:r>
      <w:r w:rsidR="002B0114">
        <w:rPr>
          <w:b/>
          <w:sz w:val="20"/>
        </w:rPr>
        <w:t>Methods</w:t>
      </w:r>
      <w:r w:rsidRPr="00243542">
        <w:rPr>
          <w:b/>
          <w:sz w:val="20"/>
        </w:rPr>
        <w:t>:</w:t>
      </w:r>
      <w:r w:rsidR="00B75EB7" w:rsidRPr="00243542">
        <w:rPr>
          <w:b/>
          <w:sz w:val="20"/>
        </w:rPr>
        <w:t xml:space="preserve"> </w:t>
      </w:r>
    </w:p>
    <w:p w:rsidR="0000144B" w:rsidRDefault="0000144B" w:rsidP="00B75EB7">
      <w:pPr>
        <w:spacing w:line="240" w:lineRule="atLeast"/>
        <w:ind w:firstLine="288"/>
        <w:jc w:val="both"/>
        <w:rPr>
          <w:sz w:val="20"/>
        </w:rPr>
      </w:pPr>
      <w:r>
        <w:rPr>
          <w:sz w:val="20"/>
        </w:rPr>
        <w:t>End-me</w:t>
      </w:r>
      <w:r w:rsidR="00621148">
        <w:rPr>
          <w:sz w:val="20"/>
        </w:rPr>
        <w:t>mber compositions for two series</w:t>
      </w:r>
      <w:r w:rsidR="007631F0">
        <w:rPr>
          <w:sz w:val="20"/>
        </w:rPr>
        <w:t xml:space="preserve"> between more polymerized and less polymerized</w:t>
      </w:r>
      <w:r w:rsidR="00621148">
        <w:rPr>
          <w:sz w:val="20"/>
        </w:rPr>
        <w:t xml:space="preserve"> melts</w:t>
      </w:r>
      <w:r w:rsidR="007631F0">
        <w:rPr>
          <w:sz w:val="20"/>
        </w:rPr>
        <w:t xml:space="preserve"> </w:t>
      </w:r>
      <w:r>
        <w:rPr>
          <w:sz w:val="20"/>
        </w:rPr>
        <w:t xml:space="preserve">were prepared from reagent grade chemicals and ground with an agate mortar and pestle under </w:t>
      </w:r>
      <w:r w:rsidR="00BE0391">
        <w:rPr>
          <w:sz w:val="20"/>
        </w:rPr>
        <w:t>methanol</w:t>
      </w:r>
      <w:r>
        <w:rPr>
          <w:sz w:val="20"/>
        </w:rPr>
        <w:t xml:space="preserve">.  </w:t>
      </w:r>
      <w:r w:rsidR="007631F0">
        <w:rPr>
          <w:sz w:val="20"/>
        </w:rPr>
        <w:t xml:space="preserve">These end member compositions were: </w:t>
      </w:r>
      <w:proofErr w:type="spellStart"/>
      <w:r w:rsidR="007631F0">
        <w:rPr>
          <w:sz w:val="20"/>
        </w:rPr>
        <w:t>Diopsidic</w:t>
      </w:r>
      <w:proofErr w:type="spellEnd"/>
      <w:r w:rsidR="007631F0">
        <w:rPr>
          <w:sz w:val="20"/>
        </w:rPr>
        <w:t>, FMS,</w:t>
      </w:r>
      <w:r w:rsidR="0070028D">
        <w:rPr>
          <w:sz w:val="20"/>
        </w:rPr>
        <w:t xml:space="preserve"> </w:t>
      </w:r>
      <w:proofErr w:type="gramStart"/>
      <w:r w:rsidR="007631F0">
        <w:rPr>
          <w:sz w:val="20"/>
        </w:rPr>
        <w:t xml:space="preserve">and </w:t>
      </w:r>
      <w:r w:rsidR="0070028D">
        <w:rPr>
          <w:sz w:val="20"/>
        </w:rPr>
        <w:t xml:space="preserve"> </w:t>
      </w:r>
      <w:proofErr w:type="spellStart"/>
      <w:r w:rsidR="0070028D">
        <w:rPr>
          <w:sz w:val="20"/>
        </w:rPr>
        <w:t>SCMA10</w:t>
      </w:r>
      <w:proofErr w:type="spellEnd"/>
      <w:proofErr w:type="gramEnd"/>
      <w:r w:rsidR="0070028D">
        <w:rPr>
          <w:sz w:val="20"/>
        </w:rPr>
        <w:t>-5</w:t>
      </w:r>
      <w:r w:rsidR="00B470A7">
        <w:rPr>
          <w:sz w:val="20"/>
        </w:rPr>
        <w:t xml:space="preserve"> (</w:t>
      </w:r>
      <w:proofErr w:type="spellStart"/>
      <w:r w:rsidR="0070028D">
        <w:rPr>
          <w:sz w:val="20"/>
        </w:rPr>
        <w:t>labled</w:t>
      </w:r>
      <w:proofErr w:type="spellEnd"/>
      <w:r w:rsidR="0070028D">
        <w:rPr>
          <w:sz w:val="20"/>
        </w:rPr>
        <w:t xml:space="preserve"> as </w:t>
      </w:r>
      <w:proofErr w:type="spellStart"/>
      <w:r w:rsidR="0070028D">
        <w:rPr>
          <w:sz w:val="20"/>
        </w:rPr>
        <w:t>Depoly</w:t>
      </w:r>
      <w:proofErr w:type="spellEnd"/>
      <w:r w:rsidR="0070028D">
        <w:rPr>
          <w:sz w:val="20"/>
        </w:rPr>
        <w:t xml:space="preserve"> in Table 1</w:t>
      </w:r>
      <w:r w:rsidR="00B470A7">
        <w:rPr>
          <w:sz w:val="20"/>
        </w:rPr>
        <w:t>)</w:t>
      </w:r>
      <w:r w:rsidR="007631F0">
        <w:rPr>
          <w:sz w:val="20"/>
        </w:rPr>
        <w:t xml:space="preserve">. </w:t>
      </w:r>
      <w:r w:rsidR="00CC6B90">
        <w:rPr>
          <w:sz w:val="20"/>
        </w:rPr>
        <w:t>A series of c</w:t>
      </w:r>
      <w:r>
        <w:rPr>
          <w:sz w:val="20"/>
        </w:rPr>
        <w:t>ompositions</w:t>
      </w:r>
      <w:r w:rsidR="00CC6B90">
        <w:rPr>
          <w:sz w:val="20"/>
        </w:rPr>
        <w:t xml:space="preserve"> for each trend was</w:t>
      </w:r>
      <w:r>
        <w:rPr>
          <w:sz w:val="20"/>
        </w:rPr>
        <w:t xml:space="preserve"> prepared by mixing these end-member </w:t>
      </w:r>
      <w:r w:rsidR="00CC6B90">
        <w:rPr>
          <w:sz w:val="20"/>
        </w:rPr>
        <w:t xml:space="preserve">mixtures </w:t>
      </w:r>
      <w:r>
        <w:rPr>
          <w:sz w:val="20"/>
        </w:rPr>
        <w:t>in the proportions shown in Table 1</w:t>
      </w:r>
      <w:r w:rsidR="00CC6B90">
        <w:rPr>
          <w:sz w:val="20"/>
        </w:rPr>
        <w:t xml:space="preserve">, again grinding under </w:t>
      </w:r>
      <w:r w:rsidR="00B470A7">
        <w:rPr>
          <w:sz w:val="20"/>
        </w:rPr>
        <w:t>methanol</w:t>
      </w:r>
      <w:r>
        <w:rPr>
          <w:sz w:val="20"/>
        </w:rPr>
        <w:t xml:space="preserve">.  About </w:t>
      </w:r>
      <w:proofErr w:type="spellStart"/>
      <w:r>
        <w:rPr>
          <w:sz w:val="20"/>
        </w:rPr>
        <w:t>0.3wt</w:t>
      </w:r>
      <w:proofErr w:type="spellEnd"/>
      <w:r>
        <w:rPr>
          <w:sz w:val="20"/>
        </w:rPr>
        <w:t xml:space="preserve">% </w:t>
      </w:r>
      <w:proofErr w:type="spellStart"/>
      <w:r>
        <w:rPr>
          <w:sz w:val="20"/>
        </w:rPr>
        <w:t>NiO</w:t>
      </w:r>
      <w:proofErr w:type="spellEnd"/>
      <w:r>
        <w:rPr>
          <w:sz w:val="20"/>
        </w:rPr>
        <w:t xml:space="preserve"> was added </w:t>
      </w:r>
      <w:r w:rsidR="00621148">
        <w:rPr>
          <w:sz w:val="20"/>
        </w:rPr>
        <w:t>to</w:t>
      </w:r>
      <w:r>
        <w:rPr>
          <w:sz w:val="20"/>
        </w:rPr>
        <w:t xml:space="preserve"> each composition.</w:t>
      </w:r>
    </w:p>
    <w:p w:rsidR="003403BE" w:rsidRDefault="003403BE" w:rsidP="00B75EB7">
      <w:pPr>
        <w:spacing w:line="240" w:lineRule="atLeast"/>
        <w:ind w:firstLine="288"/>
        <w:jc w:val="both"/>
        <w:rPr>
          <w:sz w:val="20"/>
        </w:rPr>
      </w:pPr>
      <w:r>
        <w:rPr>
          <w:sz w:val="20"/>
        </w:rPr>
        <w:t>Experiments were run on Pt wire loops in a 1-atm gas mixing furnace in a CO</w:t>
      </w:r>
      <w:r w:rsidRPr="00621148">
        <w:rPr>
          <w:sz w:val="20"/>
          <w:vertAlign w:val="subscript"/>
        </w:rPr>
        <w:t>2</w:t>
      </w:r>
      <w:r>
        <w:rPr>
          <w:sz w:val="20"/>
        </w:rPr>
        <w:t xml:space="preserve"> atmosphere at temperatures as shown in Table 1.  Temperatures were measured with a type-S thermocouple placed adjacent to the sample.</w:t>
      </w:r>
    </w:p>
    <w:p w:rsidR="003403BE" w:rsidRDefault="00FC416B" w:rsidP="003403BE">
      <w:pPr>
        <w:spacing w:line="240" w:lineRule="atLeast"/>
        <w:ind w:firstLine="288"/>
        <w:jc w:val="both"/>
        <w:rPr>
          <w:sz w:val="20"/>
        </w:rPr>
      </w:pPr>
      <w:r>
        <w:rPr>
          <w:sz w:val="20"/>
        </w:rPr>
        <w:t xml:space="preserve"> </w:t>
      </w:r>
      <w:r w:rsidR="003403BE">
        <w:rPr>
          <w:sz w:val="20"/>
        </w:rPr>
        <w:t>The activity coefficient</w:t>
      </w:r>
      <w:r w:rsidR="00C711EB">
        <w:rPr>
          <w:sz w:val="20"/>
        </w:rPr>
        <w:t>s</w:t>
      </w:r>
      <w:r w:rsidR="003403BE">
        <w:rPr>
          <w:sz w:val="20"/>
        </w:rPr>
        <w:t xml:space="preserve"> for </w:t>
      </w:r>
      <w:proofErr w:type="spellStart"/>
      <w:r w:rsidR="003403BE">
        <w:rPr>
          <w:sz w:val="20"/>
        </w:rPr>
        <w:t>Ni</w:t>
      </w:r>
      <w:r w:rsidR="00C711EB">
        <w:rPr>
          <w:sz w:val="20"/>
        </w:rPr>
        <w:t>O</w:t>
      </w:r>
      <w:proofErr w:type="spellEnd"/>
      <w:r w:rsidR="00C711EB">
        <w:rPr>
          <w:sz w:val="20"/>
        </w:rPr>
        <w:t xml:space="preserve"> in the Fe-free experiments were</w:t>
      </w:r>
      <w:r w:rsidR="003403BE">
        <w:rPr>
          <w:sz w:val="20"/>
        </w:rPr>
        <w:t xml:space="preserve"> measured</w:t>
      </w:r>
      <w:r w:rsidR="00890C72" w:rsidRPr="00243542">
        <w:rPr>
          <w:sz w:val="20"/>
        </w:rPr>
        <w:t xml:space="preserve"> using square wave </w:t>
      </w:r>
      <w:proofErr w:type="spellStart"/>
      <w:r w:rsidR="00890C72" w:rsidRPr="00243542">
        <w:rPr>
          <w:sz w:val="20"/>
        </w:rPr>
        <w:t>voltometry</w:t>
      </w:r>
      <w:proofErr w:type="spellEnd"/>
      <w:r w:rsidR="00890C72" w:rsidRPr="00243542">
        <w:rPr>
          <w:sz w:val="20"/>
        </w:rPr>
        <w:t xml:space="preserve"> </w:t>
      </w:r>
      <w:r w:rsidR="003403BE">
        <w:rPr>
          <w:sz w:val="20"/>
        </w:rPr>
        <w:t>after the methodology in [</w:t>
      </w:r>
      <w:r w:rsidR="00B470A7">
        <w:rPr>
          <w:sz w:val="20"/>
        </w:rPr>
        <w:t>2</w:t>
      </w:r>
      <w:r w:rsidR="003403BE">
        <w:rPr>
          <w:sz w:val="20"/>
        </w:rPr>
        <w:t>].  In this method,</w:t>
      </w:r>
      <w:r w:rsidR="00890C72" w:rsidRPr="00243542">
        <w:rPr>
          <w:sz w:val="20"/>
        </w:rPr>
        <w:t xml:space="preserve"> </w:t>
      </w:r>
      <w:r w:rsidR="003403BE">
        <w:rPr>
          <w:sz w:val="20"/>
        </w:rPr>
        <w:t>a voltage is imposed between platinum electrodes immersed in the melt and the resulting c</w:t>
      </w:r>
      <w:r w:rsidR="00890C72" w:rsidRPr="00243542">
        <w:rPr>
          <w:sz w:val="20"/>
        </w:rPr>
        <w:t xml:space="preserve">urrent </w:t>
      </w:r>
      <w:r w:rsidR="003403BE">
        <w:rPr>
          <w:sz w:val="20"/>
        </w:rPr>
        <w:t>meas</w:t>
      </w:r>
      <w:r w:rsidR="007631F0">
        <w:rPr>
          <w:sz w:val="20"/>
        </w:rPr>
        <w:t>u</w:t>
      </w:r>
      <w:r w:rsidR="003403BE">
        <w:rPr>
          <w:sz w:val="20"/>
        </w:rPr>
        <w:t>red.  This current result</w:t>
      </w:r>
      <w:r w:rsidR="00B470A7">
        <w:rPr>
          <w:sz w:val="20"/>
        </w:rPr>
        <w:t>s from</w:t>
      </w:r>
      <w:r w:rsidR="003403BE">
        <w:rPr>
          <w:sz w:val="20"/>
        </w:rPr>
        <w:t xml:space="preserve"> the </w:t>
      </w:r>
      <w:r w:rsidR="00890C72" w:rsidRPr="00243542">
        <w:rPr>
          <w:sz w:val="20"/>
        </w:rPr>
        <w:t>reduc</w:t>
      </w:r>
      <w:r w:rsidR="00C711EB">
        <w:rPr>
          <w:sz w:val="20"/>
        </w:rPr>
        <w:t>tion</w:t>
      </w:r>
      <w:r w:rsidR="00890C72" w:rsidRPr="00243542">
        <w:rPr>
          <w:sz w:val="20"/>
        </w:rPr>
        <w:t xml:space="preserve"> </w:t>
      </w:r>
      <w:r w:rsidR="003403BE">
        <w:rPr>
          <w:sz w:val="20"/>
        </w:rPr>
        <w:t xml:space="preserve">of </w:t>
      </w:r>
      <w:r w:rsidR="00890C72" w:rsidRPr="00243542">
        <w:rPr>
          <w:sz w:val="20"/>
        </w:rPr>
        <w:t>Ni</w:t>
      </w:r>
      <w:r w:rsidR="00890C72" w:rsidRPr="00243542">
        <w:rPr>
          <w:sz w:val="20"/>
          <w:vertAlign w:val="superscript"/>
        </w:rPr>
        <w:t>+2</w:t>
      </w:r>
      <w:r w:rsidR="00890C72" w:rsidRPr="00243542">
        <w:rPr>
          <w:sz w:val="20"/>
        </w:rPr>
        <w:t xml:space="preserve"> </w:t>
      </w:r>
      <w:r w:rsidR="003403BE">
        <w:rPr>
          <w:sz w:val="20"/>
        </w:rPr>
        <w:t>into the platinum cathode</w:t>
      </w:r>
      <w:r w:rsidR="00621148">
        <w:rPr>
          <w:sz w:val="20"/>
        </w:rPr>
        <w:t xml:space="preserve"> </w:t>
      </w:r>
      <w:r w:rsidR="007631F0">
        <w:rPr>
          <w:sz w:val="20"/>
        </w:rPr>
        <w:t xml:space="preserve">while </w:t>
      </w:r>
      <w:r w:rsidR="003403BE">
        <w:rPr>
          <w:sz w:val="20"/>
        </w:rPr>
        <w:t>O</w:t>
      </w:r>
      <w:r w:rsidR="003403BE" w:rsidRPr="003403BE">
        <w:rPr>
          <w:sz w:val="20"/>
          <w:vertAlign w:val="superscript"/>
        </w:rPr>
        <w:t>2-</w:t>
      </w:r>
      <w:r w:rsidR="003403BE">
        <w:rPr>
          <w:sz w:val="20"/>
        </w:rPr>
        <w:t xml:space="preserve"> is oxidized to O</w:t>
      </w:r>
      <w:r w:rsidR="003403BE" w:rsidRPr="00C711EB">
        <w:rPr>
          <w:sz w:val="20"/>
          <w:vertAlign w:val="subscript"/>
        </w:rPr>
        <w:t>2</w:t>
      </w:r>
      <w:r w:rsidR="007631F0">
        <w:rPr>
          <w:sz w:val="20"/>
        </w:rPr>
        <w:t xml:space="preserve"> at the anode.</w:t>
      </w:r>
      <w:r w:rsidR="003403BE">
        <w:rPr>
          <w:sz w:val="20"/>
        </w:rPr>
        <w:t xml:space="preserve">  Free energy for the reaction, and activity coefficients for </w:t>
      </w:r>
      <w:proofErr w:type="spellStart"/>
      <w:r w:rsidR="003403BE">
        <w:rPr>
          <w:sz w:val="20"/>
        </w:rPr>
        <w:t>NiO</w:t>
      </w:r>
      <w:proofErr w:type="spellEnd"/>
      <w:r w:rsidR="003403BE">
        <w:rPr>
          <w:sz w:val="20"/>
        </w:rPr>
        <w:t xml:space="preserve">, can be calculated from the voltage at which the current reaches a peak.  </w:t>
      </w:r>
      <w:r w:rsidR="003403BE" w:rsidRPr="00243542">
        <w:rPr>
          <w:sz w:val="20"/>
        </w:rPr>
        <w:t xml:space="preserve">To check for equilibrium during the experiments, we </w:t>
      </w:r>
      <w:r w:rsidR="00B470A7">
        <w:rPr>
          <w:sz w:val="20"/>
        </w:rPr>
        <w:t xml:space="preserve">checked for shifts in peak position at </w:t>
      </w:r>
      <w:r w:rsidR="003403BE">
        <w:rPr>
          <w:sz w:val="20"/>
        </w:rPr>
        <w:t>different rates of voltage change</w:t>
      </w:r>
      <w:r w:rsidR="003403BE" w:rsidRPr="00243542">
        <w:rPr>
          <w:sz w:val="20"/>
        </w:rPr>
        <w:t>.</w:t>
      </w:r>
    </w:p>
    <w:p w:rsidR="00A064F5" w:rsidRDefault="003403BE" w:rsidP="003403BE">
      <w:pPr>
        <w:spacing w:line="240" w:lineRule="atLeast"/>
        <w:ind w:firstLine="288"/>
        <w:jc w:val="both"/>
        <w:rPr>
          <w:sz w:val="20"/>
        </w:rPr>
      </w:pPr>
      <w:r>
        <w:rPr>
          <w:sz w:val="20"/>
        </w:rPr>
        <w:t>The electroc</w:t>
      </w:r>
      <w:r w:rsidR="00D64252">
        <w:rPr>
          <w:sz w:val="20"/>
        </w:rPr>
        <w:t>hemical method</w:t>
      </w:r>
      <w:r>
        <w:rPr>
          <w:sz w:val="20"/>
        </w:rPr>
        <w:t xml:space="preserve"> only wor</w:t>
      </w:r>
      <w:r w:rsidR="00C711EB">
        <w:rPr>
          <w:sz w:val="20"/>
        </w:rPr>
        <w:t>ks</w:t>
      </w:r>
      <w:r>
        <w:rPr>
          <w:sz w:val="20"/>
        </w:rPr>
        <w:t xml:space="preserve"> in Fe-free systems because reduction of the Fe would mask any current arising from the reduction of Ni</w:t>
      </w:r>
      <w:r w:rsidRPr="003403BE">
        <w:rPr>
          <w:sz w:val="20"/>
          <w:vertAlign w:val="superscript"/>
        </w:rPr>
        <w:t>2+</w:t>
      </w:r>
      <w:r>
        <w:rPr>
          <w:sz w:val="20"/>
        </w:rPr>
        <w:t xml:space="preserve">.   To measure the activity coefficients for </w:t>
      </w:r>
      <w:proofErr w:type="spellStart"/>
      <w:r>
        <w:rPr>
          <w:sz w:val="20"/>
        </w:rPr>
        <w:t>NiO</w:t>
      </w:r>
      <w:proofErr w:type="spellEnd"/>
      <w:r>
        <w:rPr>
          <w:sz w:val="20"/>
        </w:rPr>
        <w:t xml:space="preserve"> in the Fe-bearing systems, we used a</w:t>
      </w:r>
      <w:r w:rsidR="00B470A7">
        <w:rPr>
          <w:sz w:val="20"/>
        </w:rPr>
        <w:t xml:space="preserve">n </w:t>
      </w:r>
      <w:r>
        <w:rPr>
          <w:sz w:val="20"/>
        </w:rPr>
        <w:t xml:space="preserve">approach </w:t>
      </w:r>
      <w:r w:rsidR="00B470A7">
        <w:rPr>
          <w:sz w:val="20"/>
        </w:rPr>
        <w:t>similar to [5</w:t>
      </w:r>
      <w:r>
        <w:rPr>
          <w:sz w:val="20"/>
        </w:rPr>
        <w:t>], measuring the ra</w:t>
      </w:r>
      <w:r w:rsidR="00D64252">
        <w:rPr>
          <w:sz w:val="20"/>
        </w:rPr>
        <w:t>tio of the concentration of Ni in the Pt loop</w:t>
      </w:r>
      <w:r>
        <w:rPr>
          <w:sz w:val="20"/>
        </w:rPr>
        <w:t xml:space="preserve"> </w:t>
      </w:r>
      <w:r w:rsidR="00D64252">
        <w:rPr>
          <w:sz w:val="20"/>
        </w:rPr>
        <w:t xml:space="preserve">to </w:t>
      </w:r>
      <w:r w:rsidR="00D64252">
        <w:rPr>
          <w:sz w:val="20"/>
        </w:rPr>
        <w:lastRenderedPageBreak/>
        <w:t>that in the melt</w:t>
      </w:r>
      <w:r w:rsidR="00621148">
        <w:rPr>
          <w:sz w:val="20"/>
        </w:rPr>
        <w:t xml:space="preserve"> </w:t>
      </w:r>
      <w:r w:rsidR="001F7982">
        <w:rPr>
          <w:sz w:val="20"/>
        </w:rPr>
        <w:t>(</w:t>
      </w:r>
      <w:r w:rsidR="00621148">
        <w:rPr>
          <w:sz w:val="20"/>
        </w:rPr>
        <w:t xml:space="preserve">using a </w:t>
      </w:r>
      <w:proofErr w:type="spellStart"/>
      <w:r w:rsidR="00621148">
        <w:rPr>
          <w:sz w:val="20"/>
        </w:rPr>
        <w:t>JEOL</w:t>
      </w:r>
      <w:proofErr w:type="spellEnd"/>
      <w:r w:rsidR="00621148">
        <w:rPr>
          <w:sz w:val="20"/>
        </w:rPr>
        <w:t xml:space="preserve"> 733 </w:t>
      </w:r>
      <w:proofErr w:type="spellStart"/>
      <w:r w:rsidR="00621148">
        <w:rPr>
          <w:sz w:val="20"/>
        </w:rPr>
        <w:t>Superprobe</w:t>
      </w:r>
      <w:proofErr w:type="spellEnd"/>
      <w:r w:rsidR="00621148">
        <w:rPr>
          <w:sz w:val="20"/>
        </w:rPr>
        <w:t xml:space="preserve"> with long counting times</w:t>
      </w:r>
      <w:r w:rsidR="001F7982">
        <w:rPr>
          <w:sz w:val="20"/>
        </w:rPr>
        <w:t>)</w:t>
      </w:r>
      <w:r w:rsidR="00D64252">
        <w:rPr>
          <w:sz w:val="20"/>
        </w:rPr>
        <w:t>.  At any one temperature</w:t>
      </w:r>
      <w:r w:rsidR="00A76ACF">
        <w:rPr>
          <w:sz w:val="20"/>
        </w:rPr>
        <w:t xml:space="preserve">, </w:t>
      </w:r>
      <w:r w:rsidR="00FA53D6">
        <w:rPr>
          <w:sz w:val="20"/>
        </w:rPr>
        <w:t>pressure</w:t>
      </w:r>
      <w:r w:rsidR="00A76ACF">
        <w:rPr>
          <w:sz w:val="20"/>
        </w:rPr>
        <w:t>, and fO</w:t>
      </w:r>
      <w:r w:rsidR="00A76ACF" w:rsidRPr="00A76ACF">
        <w:rPr>
          <w:sz w:val="20"/>
          <w:vertAlign w:val="subscript"/>
        </w:rPr>
        <w:t>2</w:t>
      </w:r>
      <w:r w:rsidR="00D64252">
        <w:rPr>
          <w:sz w:val="20"/>
        </w:rPr>
        <w:t>, w</w:t>
      </w:r>
      <w:r w:rsidR="00D64252" w:rsidRPr="00243542">
        <w:rPr>
          <w:sz w:val="20"/>
        </w:rPr>
        <w:t>e can compare Ni</w:t>
      </w:r>
      <w:r w:rsidR="00D64252">
        <w:rPr>
          <w:sz w:val="20"/>
          <w:vertAlign w:val="superscript"/>
        </w:rPr>
        <w:t xml:space="preserve"> </w:t>
      </w:r>
      <w:r w:rsidR="00D64252">
        <w:rPr>
          <w:sz w:val="20"/>
        </w:rPr>
        <w:t xml:space="preserve">concentration in </w:t>
      </w:r>
      <w:r w:rsidR="00D64252" w:rsidRPr="00243542">
        <w:rPr>
          <w:sz w:val="20"/>
        </w:rPr>
        <w:t xml:space="preserve">platinum </w:t>
      </w:r>
      <w:r w:rsidR="00D64252">
        <w:rPr>
          <w:sz w:val="20"/>
        </w:rPr>
        <w:t>in equilibrium with a known melt to that in an unknown melt according to the relationship</w:t>
      </w:r>
    </w:p>
    <w:p w:rsidR="00D64252" w:rsidRDefault="00D64252" w:rsidP="006775BC">
      <w:pPr>
        <w:spacing w:line="120" w:lineRule="exact"/>
        <w:ind w:firstLine="288"/>
        <w:jc w:val="both"/>
        <w:rPr>
          <w:sz w:val="20"/>
        </w:rPr>
      </w:pPr>
    </w:p>
    <w:p w:rsidR="00D64252" w:rsidRDefault="00D64252" w:rsidP="003403BE">
      <w:pPr>
        <w:spacing w:line="240" w:lineRule="atLeast"/>
        <w:ind w:firstLine="288"/>
        <w:jc w:val="both"/>
        <w:rPr>
          <w:sz w:val="20"/>
        </w:rPr>
      </w:pPr>
      <w:proofErr w:type="gramStart"/>
      <w:r>
        <w:rPr>
          <w:sz w:val="20"/>
        </w:rPr>
        <w:t>a*</w:t>
      </w:r>
      <w:proofErr w:type="gramEnd"/>
      <w:r w:rsidRPr="00D64252">
        <w:rPr>
          <w:sz w:val="20"/>
          <w:vertAlign w:val="subscript"/>
        </w:rPr>
        <w:t>melt</w:t>
      </w:r>
      <w:r>
        <w:rPr>
          <w:sz w:val="20"/>
        </w:rPr>
        <w:t>/X*</w:t>
      </w:r>
      <w:r w:rsidRPr="00D64252">
        <w:rPr>
          <w:sz w:val="20"/>
          <w:vertAlign w:val="subscript"/>
        </w:rPr>
        <w:t>Pt</w:t>
      </w:r>
      <w:r>
        <w:rPr>
          <w:sz w:val="20"/>
        </w:rPr>
        <w:t xml:space="preserve"> = </w:t>
      </w:r>
      <w:proofErr w:type="spellStart"/>
      <w:r>
        <w:rPr>
          <w:sz w:val="20"/>
        </w:rPr>
        <w:t>a</w:t>
      </w:r>
      <w:r w:rsidRPr="00D64252">
        <w:rPr>
          <w:sz w:val="20"/>
          <w:vertAlign w:val="subscript"/>
        </w:rPr>
        <w:t>melt</w:t>
      </w:r>
      <w:proofErr w:type="spellEnd"/>
      <w:r>
        <w:rPr>
          <w:sz w:val="20"/>
        </w:rPr>
        <w:t>/</w:t>
      </w:r>
      <w:proofErr w:type="spellStart"/>
      <w:r>
        <w:rPr>
          <w:sz w:val="20"/>
        </w:rPr>
        <w:t>X</w:t>
      </w:r>
      <w:r w:rsidRPr="00D64252">
        <w:rPr>
          <w:sz w:val="20"/>
          <w:vertAlign w:val="subscript"/>
        </w:rPr>
        <w:t>Pt</w:t>
      </w:r>
      <w:proofErr w:type="spellEnd"/>
    </w:p>
    <w:p w:rsidR="00D64252" w:rsidRDefault="00D64252" w:rsidP="006775BC">
      <w:pPr>
        <w:spacing w:line="120" w:lineRule="exact"/>
        <w:ind w:firstLine="288"/>
        <w:jc w:val="both"/>
        <w:rPr>
          <w:sz w:val="20"/>
        </w:rPr>
      </w:pPr>
    </w:p>
    <w:p w:rsidR="00D64252" w:rsidRDefault="00D64252" w:rsidP="003403BE">
      <w:pPr>
        <w:spacing w:line="240" w:lineRule="atLeast"/>
        <w:ind w:firstLine="288"/>
        <w:jc w:val="both"/>
        <w:rPr>
          <w:sz w:val="20"/>
        </w:rPr>
      </w:pPr>
      <w:proofErr w:type="gramStart"/>
      <w:r>
        <w:rPr>
          <w:sz w:val="20"/>
        </w:rPr>
        <w:t>where</w:t>
      </w:r>
      <w:proofErr w:type="gramEnd"/>
      <w:r>
        <w:rPr>
          <w:sz w:val="20"/>
        </w:rPr>
        <w:t xml:space="preserve"> a*</w:t>
      </w:r>
      <w:r w:rsidRPr="00D64252">
        <w:rPr>
          <w:sz w:val="20"/>
          <w:vertAlign w:val="subscript"/>
        </w:rPr>
        <w:t>melt</w:t>
      </w:r>
      <w:r w:rsidRPr="00D64252">
        <w:rPr>
          <w:sz w:val="20"/>
        </w:rPr>
        <w:t xml:space="preserve"> =</w:t>
      </w:r>
      <w:r>
        <w:rPr>
          <w:sz w:val="20"/>
          <w:vertAlign w:val="subscript"/>
        </w:rPr>
        <w:t xml:space="preserve"> </w:t>
      </w:r>
      <w:r w:rsidRPr="00FA53D6">
        <w:rPr>
          <w:sz w:val="20"/>
        </w:rPr>
        <w:t xml:space="preserve">activity </w:t>
      </w:r>
      <w:r>
        <w:rPr>
          <w:sz w:val="20"/>
        </w:rPr>
        <w:t xml:space="preserve">of </w:t>
      </w:r>
      <w:proofErr w:type="spellStart"/>
      <w:r>
        <w:rPr>
          <w:sz w:val="20"/>
        </w:rPr>
        <w:t>NiO</w:t>
      </w:r>
      <w:proofErr w:type="spellEnd"/>
      <w:r>
        <w:rPr>
          <w:sz w:val="20"/>
        </w:rPr>
        <w:t xml:space="preserve"> in a standard melt </w:t>
      </w:r>
      <w:r w:rsidR="00C711EB">
        <w:rPr>
          <w:sz w:val="20"/>
        </w:rPr>
        <w:t>in which</w:t>
      </w:r>
      <w:r>
        <w:rPr>
          <w:sz w:val="20"/>
        </w:rPr>
        <w:t xml:space="preserve"> the activity coefficient is known</w:t>
      </w:r>
      <w:r w:rsidR="00FA53D6">
        <w:rPr>
          <w:sz w:val="20"/>
        </w:rPr>
        <w:t xml:space="preserve">, </w:t>
      </w:r>
      <w:proofErr w:type="spellStart"/>
      <w:r w:rsidR="00FA53D6">
        <w:rPr>
          <w:sz w:val="20"/>
        </w:rPr>
        <w:t>a</w:t>
      </w:r>
      <w:r w:rsidR="00FA53D6" w:rsidRPr="00D64252">
        <w:rPr>
          <w:sz w:val="20"/>
          <w:vertAlign w:val="subscript"/>
        </w:rPr>
        <w:t>melt</w:t>
      </w:r>
      <w:proofErr w:type="spellEnd"/>
      <w:r>
        <w:rPr>
          <w:sz w:val="20"/>
        </w:rPr>
        <w:t xml:space="preserve"> </w:t>
      </w:r>
      <w:r w:rsidR="00FA53D6">
        <w:rPr>
          <w:sz w:val="20"/>
        </w:rPr>
        <w:t xml:space="preserve">= the activity of </w:t>
      </w:r>
      <w:proofErr w:type="spellStart"/>
      <w:r w:rsidR="00FA53D6">
        <w:rPr>
          <w:sz w:val="20"/>
        </w:rPr>
        <w:t>NiO</w:t>
      </w:r>
      <w:proofErr w:type="spellEnd"/>
      <w:r w:rsidR="00FA53D6">
        <w:rPr>
          <w:sz w:val="20"/>
        </w:rPr>
        <w:t xml:space="preserve"> in the melt of interest, </w:t>
      </w:r>
      <w:r w:rsidR="007631F0">
        <w:rPr>
          <w:sz w:val="20"/>
        </w:rPr>
        <w:t xml:space="preserve">and </w:t>
      </w:r>
      <w:proofErr w:type="spellStart"/>
      <w:r w:rsidR="00FA53D6">
        <w:rPr>
          <w:sz w:val="20"/>
        </w:rPr>
        <w:t>X</w:t>
      </w:r>
      <w:r w:rsidR="00FA53D6" w:rsidRPr="00D64252">
        <w:rPr>
          <w:sz w:val="20"/>
          <w:vertAlign w:val="subscript"/>
        </w:rPr>
        <w:t>Pt</w:t>
      </w:r>
      <w:proofErr w:type="spellEnd"/>
      <w:r w:rsidR="00FA53D6">
        <w:rPr>
          <w:sz w:val="20"/>
        </w:rPr>
        <w:t xml:space="preserve"> = the concentration of Ni in Pt</w:t>
      </w:r>
      <w:r w:rsidR="007631F0">
        <w:rPr>
          <w:sz w:val="20"/>
        </w:rPr>
        <w:t>.  We calculated the activity coefficient from the relationships:</w:t>
      </w:r>
      <w:r w:rsidR="00621148">
        <w:rPr>
          <w:sz w:val="20"/>
        </w:rPr>
        <w:t xml:space="preserve"> </w:t>
      </w:r>
      <w:r>
        <w:rPr>
          <w:sz w:val="20"/>
        </w:rPr>
        <w:t>γ</w:t>
      </w:r>
      <w:r w:rsidR="00FA53D6">
        <w:rPr>
          <w:sz w:val="20"/>
        </w:rPr>
        <w:t xml:space="preserve"> = a/</w:t>
      </w:r>
      <w:r>
        <w:rPr>
          <w:sz w:val="20"/>
        </w:rPr>
        <w:t>X</w:t>
      </w:r>
      <w:r w:rsidR="007631F0">
        <w:rPr>
          <w:sz w:val="20"/>
        </w:rPr>
        <w:t xml:space="preserve">, with the activity determined </w:t>
      </w:r>
      <w:r>
        <w:rPr>
          <w:sz w:val="20"/>
        </w:rPr>
        <w:t xml:space="preserve">relative to the standard state of liquid </w:t>
      </w:r>
      <w:proofErr w:type="spellStart"/>
      <w:r>
        <w:rPr>
          <w:sz w:val="20"/>
        </w:rPr>
        <w:t>NiO</w:t>
      </w:r>
      <w:proofErr w:type="spellEnd"/>
      <w:r>
        <w:rPr>
          <w:sz w:val="20"/>
        </w:rPr>
        <w:t xml:space="preserve"> after the free </w:t>
      </w:r>
      <w:r w:rsidR="001F7982">
        <w:rPr>
          <w:sz w:val="20"/>
        </w:rPr>
        <w:t>energy expression from [3</w:t>
      </w:r>
      <w:r>
        <w:rPr>
          <w:sz w:val="20"/>
        </w:rPr>
        <w:t>].</w:t>
      </w:r>
    </w:p>
    <w:p w:rsidR="003C43EE" w:rsidRPr="00243542" w:rsidRDefault="003C43EE" w:rsidP="006775BC">
      <w:pPr>
        <w:spacing w:line="120" w:lineRule="exact"/>
        <w:ind w:firstLine="288"/>
        <w:jc w:val="both"/>
        <w:rPr>
          <w:sz w:val="20"/>
        </w:rPr>
      </w:pPr>
    </w:p>
    <w:tbl>
      <w:tblPr>
        <w:tblStyle w:val="TableGrid"/>
        <w:tblW w:w="5000" w:type="pct"/>
        <w:jc w:val="center"/>
        <w:tblLayout w:type="fixed"/>
        <w:tblLook w:val="04A0" w:firstRow="1" w:lastRow="0" w:firstColumn="1" w:lastColumn="0" w:noHBand="0" w:noVBand="1"/>
      </w:tblPr>
      <w:tblGrid>
        <w:gridCol w:w="827"/>
        <w:gridCol w:w="629"/>
        <w:gridCol w:w="538"/>
        <w:gridCol w:w="520"/>
        <w:gridCol w:w="575"/>
        <w:gridCol w:w="531"/>
        <w:gridCol w:w="515"/>
        <w:gridCol w:w="521"/>
      </w:tblGrid>
      <w:tr w:rsidR="0070028D" w:rsidRPr="00243542" w:rsidTr="00301D81">
        <w:trPr>
          <w:trHeight w:val="288"/>
          <w:jc w:val="center"/>
        </w:trPr>
        <w:tc>
          <w:tcPr>
            <w:tcW w:w="5000" w:type="pct"/>
            <w:gridSpan w:val="8"/>
          </w:tcPr>
          <w:p w:rsidR="0070028D" w:rsidRPr="00243542" w:rsidRDefault="004174FF" w:rsidP="00F65953">
            <w:pPr>
              <w:rPr>
                <w:rFonts w:asciiTheme="minorHAnsi" w:hAnsiTheme="minorHAnsi"/>
                <w:sz w:val="16"/>
                <w:szCs w:val="16"/>
              </w:rPr>
            </w:pPr>
            <w:r>
              <w:rPr>
                <w:rFonts w:asciiTheme="minorHAnsi" w:hAnsiTheme="minorHAnsi"/>
                <w:sz w:val="16"/>
                <w:szCs w:val="16"/>
              </w:rPr>
              <w:t>Table 1.  Experimental Composi</w:t>
            </w:r>
            <w:r w:rsidR="0070028D">
              <w:rPr>
                <w:rFonts w:asciiTheme="minorHAnsi" w:hAnsiTheme="minorHAnsi"/>
                <w:sz w:val="16"/>
                <w:szCs w:val="16"/>
              </w:rPr>
              <w:t>tions and Results</w:t>
            </w:r>
          </w:p>
        </w:tc>
      </w:tr>
      <w:tr w:rsidR="0070028D" w:rsidRPr="00243542" w:rsidTr="001444F3">
        <w:trPr>
          <w:trHeight w:val="288"/>
          <w:jc w:val="center"/>
        </w:trPr>
        <w:tc>
          <w:tcPr>
            <w:tcW w:w="889" w:type="pct"/>
          </w:tcPr>
          <w:p w:rsidR="0070028D" w:rsidRPr="00243542" w:rsidRDefault="0070028D" w:rsidP="00F65953">
            <w:pPr>
              <w:jc w:val="center"/>
              <w:rPr>
                <w:rFonts w:asciiTheme="minorHAnsi" w:hAnsiTheme="minorHAnsi"/>
                <w:sz w:val="16"/>
                <w:szCs w:val="16"/>
              </w:rPr>
            </w:pPr>
          </w:p>
          <w:p w:rsidR="0070028D" w:rsidRPr="00243542" w:rsidRDefault="0070028D" w:rsidP="00F65953">
            <w:pPr>
              <w:jc w:val="center"/>
              <w:rPr>
                <w:rFonts w:asciiTheme="minorHAnsi" w:hAnsiTheme="minorHAnsi"/>
                <w:sz w:val="16"/>
                <w:szCs w:val="16"/>
              </w:rPr>
            </w:pPr>
          </w:p>
        </w:tc>
        <w:tc>
          <w:tcPr>
            <w:tcW w:w="675" w:type="pct"/>
            <w:hideMark/>
          </w:tcPr>
          <w:p w:rsidR="0070028D" w:rsidRPr="00243542" w:rsidRDefault="0070028D" w:rsidP="00F65953">
            <w:pPr>
              <w:jc w:val="center"/>
              <w:rPr>
                <w:rFonts w:asciiTheme="minorHAnsi" w:hAnsiTheme="minorHAnsi"/>
                <w:sz w:val="16"/>
                <w:szCs w:val="16"/>
              </w:rPr>
            </w:pPr>
            <w:r w:rsidRPr="00243542">
              <w:rPr>
                <w:rFonts w:asciiTheme="minorHAnsi" w:hAnsiTheme="minorHAnsi"/>
                <w:sz w:val="16"/>
                <w:szCs w:val="16"/>
              </w:rPr>
              <w:t>T (C)</w:t>
            </w:r>
          </w:p>
        </w:tc>
        <w:tc>
          <w:tcPr>
            <w:tcW w:w="578" w:type="pct"/>
            <w:hideMark/>
          </w:tcPr>
          <w:p w:rsidR="0070028D" w:rsidRPr="00243542" w:rsidRDefault="0070028D" w:rsidP="00F65953">
            <w:pPr>
              <w:jc w:val="center"/>
              <w:rPr>
                <w:rFonts w:asciiTheme="minorHAnsi" w:hAnsiTheme="minorHAnsi"/>
                <w:sz w:val="16"/>
                <w:szCs w:val="16"/>
              </w:rPr>
            </w:pPr>
            <w:r>
              <w:rPr>
                <w:rFonts w:asciiTheme="minorHAnsi" w:hAnsiTheme="minorHAnsi"/>
                <w:sz w:val="16"/>
                <w:szCs w:val="16"/>
              </w:rPr>
              <w:t>γ</w:t>
            </w:r>
            <w:r w:rsidRPr="00243542">
              <w:rPr>
                <w:rFonts w:asciiTheme="minorHAnsi" w:hAnsiTheme="minorHAnsi"/>
                <w:sz w:val="16"/>
                <w:szCs w:val="16"/>
              </w:rPr>
              <w:t xml:space="preserve"> </w:t>
            </w:r>
            <w:proofErr w:type="spellStart"/>
            <w:r w:rsidRPr="00243542">
              <w:rPr>
                <w:rFonts w:asciiTheme="minorHAnsi" w:hAnsiTheme="minorHAnsi"/>
                <w:sz w:val="16"/>
                <w:szCs w:val="16"/>
              </w:rPr>
              <w:t>NiO</w:t>
            </w:r>
            <w:proofErr w:type="spellEnd"/>
          </w:p>
        </w:tc>
        <w:tc>
          <w:tcPr>
            <w:tcW w:w="558" w:type="pct"/>
            <w:hideMark/>
          </w:tcPr>
          <w:p w:rsidR="0070028D" w:rsidRPr="00243542" w:rsidRDefault="0070028D" w:rsidP="00F65953">
            <w:pPr>
              <w:jc w:val="center"/>
              <w:rPr>
                <w:rFonts w:asciiTheme="minorHAnsi" w:hAnsiTheme="minorHAnsi"/>
                <w:sz w:val="16"/>
                <w:szCs w:val="16"/>
              </w:rPr>
            </w:pPr>
            <w:r w:rsidRPr="00243542">
              <w:rPr>
                <w:rFonts w:asciiTheme="minorHAnsi" w:hAnsiTheme="minorHAnsi"/>
                <w:sz w:val="16"/>
                <w:szCs w:val="16"/>
              </w:rPr>
              <w:t>SiO</w:t>
            </w:r>
            <w:r w:rsidRPr="007631F0">
              <w:rPr>
                <w:rFonts w:asciiTheme="minorHAnsi" w:hAnsiTheme="minorHAnsi"/>
                <w:sz w:val="16"/>
                <w:szCs w:val="16"/>
                <w:vertAlign w:val="subscript"/>
              </w:rPr>
              <w:t>2</w:t>
            </w:r>
          </w:p>
        </w:tc>
        <w:tc>
          <w:tcPr>
            <w:tcW w:w="617" w:type="pct"/>
            <w:hideMark/>
          </w:tcPr>
          <w:p w:rsidR="0070028D" w:rsidRPr="00243542" w:rsidRDefault="0070028D" w:rsidP="00F65953">
            <w:pPr>
              <w:jc w:val="center"/>
              <w:rPr>
                <w:rFonts w:asciiTheme="minorHAnsi" w:hAnsiTheme="minorHAnsi"/>
                <w:sz w:val="16"/>
                <w:szCs w:val="16"/>
              </w:rPr>
            </w:pPr>
            <w:r w:rsidRPr="00243542">
              <w:rPr>
                <w:rFonts w:asciiTheme="minorHAnsi" w:hAnsiTheme="minorHAnsi"/>
                <w:sz w:val="16"/>
                <w:szCs w:val="16"/>
              </w:rPr>
              <w:t>Al</w:t>
            </w:r>
            <w:r w:rsidRPr="007631F0">
              <w:rPr>
                <w:rFonts w:asciiTheme="minorHAnsi" w:hAnsiTheme="minorHAnsi"/>
                <w:sz w:val="16"/>
                <w:szCs w:val="16"/>
                <w:vertAlign w:val="subscript"/>
              </w:rPr>
              <w:t>2</w:t>
            </w:r>
            <w:r w:rsidRPr="00243542">
              <w:rPr>
                <w:rFonts w:asciiTheme="minorHAnsi" w:hAnsiTheme="minorHAnsi"/>
                <w:sz w:val="16"/>
                <w:szCs w:val="16"/>
              </w:rPr>
              <w:t>O</w:t>
            </w:r>
            <w:r w:rsidRPr="007631F0">
              <w:rPr>
                <w:rFonts w:asciiTheme="minorHAnsi" w:hAnsiTheme="minorHAnsi"/>
                <w:sz w:val="16"/>
                <w:szCs w:val="16"/>
                <w:vertAlign w:val="subscript"/>
              </w:rPr>
              <w:t>3</w:t>
            </w:r>
          </w:p>
        </w:tc>
        <w:tc>
          <w:tcPr>
            <w:tcW w:w="570" w:type="pct"/>
            <w:hideMark/>
          </w:tcPr>
          <w:p w:rsidR="0070028D" w:rsidRPr="00243542" w:rsidRDefault="0070028D" w:rsidP="00F65953">
            <w:pPr>
              <w:jc w:val="center"/>
              <w:rPr>
                <w:rFonts w:asciiTheme="minorHAnsi" w:hAnsiTheme="minorHAnsi"/>
                <w:sz w:val="16"/>
                <w:szCs w:val="16"/>
              </w:rPr>
            </w:pPr>
            <w:proofErr w:type="spellStart"/>
            <w:r w:rsidRPr="00243542">
              <w:rPr>
                <w:rFonts w:asciiTheme="minorHAnsi" w:hAnsiTheme="minorHAnsi"/>
                <w:sz w:val="16"/>
                <w:szCs w:val="16"/>
              </w:rPr>
              <w:t>MgO</w:t>
            </w:r>
            <w:proofErr w:type="spellEnd"/>
          </w:p>
        </w:tc>
        <w:tc>
          <w:tcPr>
            <w:tcW w:w="553" w:type="pct"/>
            <w:hideMark/>
          </w:tcPr>
          <w:p w:rsidR="0070028D" w:rsidRPr="00243542" w:rsidRDefault="0070028D" w:rsidP="00F65953">
            <w:pPr>
              <w:jc w:val="center"/>
              <w:rPr>
                <w:rFonts w:asciiTheme="minorHAnsi" w:hAnsiTheme="minorHAnsi"/>
                <w:sz w:val="16"/>
                <w:szCs w:val="16"/>
              </w:rPr>
            </w:pPr>
            <w:proofErr w:type="spellStart"/>
            <w:r w:rsidRPr="00243542">
              <w:rPr>
                <w:rFonts w:asciiTheme="minorHAnsi" w:hAnsiTheme="minorHAnsi"/>
                <w:sz w:val="16"/>
                <w:szCs w:val="16"/>
              </w:rPr>
              <w:t>CaO</w:t>
            </w:r>
            <w:proofErr w:type="spellEnd"/>
          </w:p>
        </w:tc>
        <w:tc>
          <w:tcPr>
            <w:tcW w:w="558" w:type="pct"/>
            <w:hideMark/>
          </w:tcPr>
          <w:p w:rsidR="0070028D" w:rsidRPr="00243542" w:rsidRDefault="0070028D" w:rsidP="00F65953">
            <w:pPr>
              <w:jc w:val="center"/>
              <w:rPr>
                <w:rFonts w:asciiTheme="minorHAnsi" w:hAnsiTheme="minorHAnsi"/>
                <w:sz w:val="16"/>
                <w:szCs w:val="16"/>
              </w:rPr>
            </w:pPr>
            <w:proofErr w:type="spellStart"/>
            <w:r w:rsidRPr="00243542">
              <w:rPr>
                <w:rFonts w:asciiTheme="minorHAnsi" w:hAnsiTheme="minorHAnsi"/>
                <w:sz w:val="16"/>
                <w:szCs w:val="16"/>
              </w:rPr>
              <w:t>FeO</w:t>
            </w:r>
            <w:proofErr w:type="spellEnd"/>
          </w:p>
        </w:tc>
      </w:tr>
      <w:tr w:rsidR="0070028D" w:rsidRPr="00243542" w:rsidTr="00301D81">
        <w:trPr>
          <w:trHeight w:val="489"/>
          <w:jc w:val="center"/>
        </w:trPr>
        <w:tc>
          <w:tcPr>
            <w:tcW w:w="889" w:type="pct"/>
            <w:hideMark/>
          </w:tcPr>
          <w:p w:rsidR="0070028D" w:rsidRPr="00243542" w:rsidRDefault="0070028D" w:rsidP="00F65953">
            <w:pPr>
              <w:jc w:val="center"/>
              <w:rPr>
                <w:rFonts w:asciiTheme="minorHAnsi" w:hAnsiTheme="minorHAnsi"/>
                <w:sz w:val="16"/>
                <w:szCs w:val="16"/>
              </w:rPr>
            </w:pPr>
            <w:r w:rsidRPr="00243542">
              <w:rPr>
                <w:rFonts w:asciiTheme="minorHAnsi" w:hAnsiTheme="minorHAnsi"/>
                <w:sz w:val="16"/>
                <w:szCs w:val="16"/>
              </w:rPr>
              <w:t>100 % Di-</w:t>
            </w:r>
            <w:proofErr w:type="spellStart"/>
            <w:r w:rsidRPr="00243542">
              <w:rPr>
                <w:rFonts w:asciiTheme="minorHAnsi" w:hAnsiTheme="minorHAnsi"/>
                <w:sz w:val="16"/>
                <w:szCs w:val="16"/>
              </w:rPr>
              <w:t>Depoly</w:t>
            </w:r>
            <w:proofErr w:type="spellEnd"/>
          </w:p>
        </w:tc>
        <w:tc>
          <w:tcPr>
            <w:tcW w:w="675"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1562</w:t>
            </w:r>
          </w:p>
        </w:tc>
        <w:tc>
          <w:tcPr>
            <w:tcW w:w="578"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1.92</w:t>
            </w:r>
          </w:p>
        </w:tc>
        <w:tc>
          <w:tcPr>
            <w:tcW w:w="558"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55.5</w:t>
            </w:r>
          </w:p>
        </w:tc>
        <w:tc>
          <w:tcPr>
            <w:tcW w:w="617"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0</w:t>
            </w:r>
          </w:p>
        </w:tc>
        <w:tc>
          <w:tcPr>
            <w:tcW w:w="570"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18.6</w:t>
            </w:r>
          </w:p>
        </w:tc>
        <w:tc>
          <w:tcPr>
            <w:tcW w:w="553"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25.9</w:t>
            </w:r>
          </w:p>
        </w:tc>
        <w:tc>
          <w:tcPr>
            <w:tcW w:w="558" w:type="pct"/>
          </w:tcPr>
          <w:p w:rsidR="0070028D" w:rsidRPr="00243542" w:rsidRDefault="0070028D" w:rsidP="00F65953">
            <w:pPr>
              <w:jc w:val="center"/>
              <w:rPr>
                <w:rFonts w:ascii="Calibri" w:hAnsi="Calibri"/>
                <w:color w:val="000000"/>
                <w:sz w:val="16"/>
                <w:szCs w:val="16"/>
              </w:rPr>
            </w:pPr>
            <w:r>
              <w:rPr>
                <w:rFonts w:ascii="Calibri" w:hAnsi="Calibri"/>
                <w:color w:val="000000"/>
                <w:sz w:val="16"/>
                <w:szCs w:val="16"/>
              </w:rPr>
              <w:t>0</w:t>
            </w:r>
          </w:p>
        </w:tc>
      </w:tr>
      <w:tr w:rsidR="0070028D" w:rsidRPr="00243542" w:rsidTr="00301D81">
        <w:trPr>
          <w:trHeight w:val="381"/>
          <w:jc w:val="center"/>
        </w:trPr>
        <w:tc>
          <w:tcPr>
            <w:tcW w:w="889" w:type="pct"/>
            <w:hideMark/>
          </w:tcPr>
          <w:p w:rsidR="0070028D" w:rsidRPr="00243542" w:rsidRDefault="0070028D" w:rsidP="00F65953">
            <w:pPr>
              <w:jc w:val="center"/>
              <w:rPr>
                <w:rFonts w:asciiTheme="minorHAnsi" w:hAnsiTheme="minorHAnsi"/>
                <w:sz w:val="16"/>
                <w:szCs w:val="16"/>
              </w:rPr>
            </w:pPr>
            <w:r w:rsidRPr="00243542">
              <w:rPr>
                <w:rFonts w:asciiTheme="minorHAnsi" w:hAnsiTheme="minorHAnsi"/>
                <w:sz w:val="16"/>
                <w:szCs w:val="16"/>
              </w:rPr>
              <w:t>75% Di-</w:t>
            </w:r>
            <w:proofErr w:type="spellStart"/>
            <w:r w:rsidRPr="00243542">
              <w:rPr>
                <w:rFonts w:asciiTheme="minorHAnsi" w:hAnsiTheme="minorHAnsi"/>
                <w:sz w:val="16"/>
                <w:szCs w:val="16"/>
              </w:rPr>
              <w:t>Depoly</w:t>
            </w:r>
            <w:proofErr w:type="spellEnd"/>
          </w:p>
        </w:tc>
        <w:tc>
          <w:tcPr>
            <w:tcW w:w="675"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1564</w:t>
            </w:r>
          </w:p>
        </w:tc>
        <w:tc>
          <w:tcPr>
            <w:tcW w:w="578"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2.24</w:t>
            </w:r>
          </w:p>
        </w:tc>
        <w:tc>
          <w:tcPr>
            <w:tcW w:w="558" w:type="pct"/>
            <w:hideMark/>
          </w:tcPr>
          <w:p w:rsidR="0070028D" w:rsidRPr="00243542" w:rsidRDefault="0070028D" w:rsidP="00F65953">
            <w:pPr>
              <w:jc w:val="center"/>
              <w:rPr>
                <w:rFonts w:ascii="Calibri" w:hAnsi="Calibri"/>
                <w:color w:val="000000"/>
                <w:sz w:val="16"/>
                <w:szCs w:val="16"/>
              </w:rPr>
            </w:pPr>
            <w:r>
              <w:rPr>
                <w:rFonts w:ascii="Calibri" w:hAnsi="Calibri"/>
                <w:color w:val="000000"/>
                <w:sz w:val="16"/>
                <w:szCs w:val="16"/>
              </w:rPr>
              <w:t>52.6</w:t>
            </w:r>
          </w:p>
        </w:tc>
        <w:tc>
          <w:tcPr>
            <w:tcW w:w="617"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2.5</w:t>
            </w:r>
          </w:p>
        </w:tc>
        <w:tc>
          <w:tcPr>
            <w:tcW w:w="570"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22.9</w:t>
            </w:r>
          </w:p>
        </w:tc>
        <w:tc>
          <w:tcPr>
            <w:tcW w:w="553"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21.9</w:t>
            </w:r>
          </w:p>
        </w:tc>
        <w:tc>
          <w:tcPr>
            <w:tcW w:w="558" w:type="pct"/>
          </w:tcPr>
          <w:p w:rsidR="0070028D" w:rsidRPr="00243542" w:rsidRDefault="0070028D" w:rsidP="00F65953">
            <w:pPr>
              <w:jc w:val="center"/>
              <w:rPr>
                <w:rFonts w:ascii="Calibri" w:hAnsi="Calibri"/>
                <w:color w:val="000000"/>
                <w:sz w:val="16"/>
                <w:szCs w:val="16"/>
              </w:rPr>
            </w:pPr>
            <w:r>
              <w:rPr>
                <w:rFonts w:ascii="Calibri" w:hAnsi="Calibri"/>
                <w:color w:val="000000"/>
                <w:sz w:val="16"/>
                <w:szCs w:val="16"/>
              </w:rPr>
              <w:t>0</w:t>
            </w:r>
          </w:p>
        </w:tc>
      </w:tr>
      <w:tr w:rsidR="0070028D" w:rsidRPr="00243542" w:rsidTr="00301D81">
        <w:trPr>
          <w:trHeight w:val="388"/>
          <w:jc w:val="center"/>
        </w:trPr>
        <w:tc>
          <w:tcPr>
            <w:tcW w:w="889" w:type="pct"/>
            <w:hideMark/>
          </w:tcPr>
          <w:p w:rsidR="0070028D" w:rsidRPr="00243542" w:rsidRDefault="0070028D" w:rsidP="00F65953">
            <w:pPr>
              <w:jc w:val="center"/>
              <w:rPr>
                <w:rFonts w:asciiTheme="minorHAnsi" w:hAnsiTheme="minorHAnsi"/>
                <w:sz w:val="16"/>
                <w:szCs w:val="16"/>
              </w:rPr>
            </w:pPr>
            <w:r w:rsidRPr="00243542">
              <w:rPr>
                <w:rFonts w:asciiTheme="minorHAnsi" w:hAnsiTheme="minorHAnsi"/>
                <w:sz w:val="16"/>
                <w:szCs w:val="16"/>
              </w:rPr>
              <w:t>50% Di-</w:t>
            </w:r>
            <w:proofErr w:type="spellStart"/>
            <w:r w:rsidRPr="00243542">
              <w:rPr>
                <w:rFonts w:asciiTheme="minorHAnsi" w:hAnsiTheme="minorHAnsi"/>
                <w:sz w:val="16"/>
                <w:szCs w:val="16"/>
              </w:rPr>
              <w:t>Depoly</w:t>
            </w:r>
            <w:proofErr w:type="spellEnd"/>
          </w:p>
        </w:tc>
        <w:tc>
          <w:tcPr>
            <w:tcW w:w="675"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1561</w:t>
            </w:r>
          </w:p>
        </w:tc>
        <w:tc>
          <w:tcPr>
            <w:tcW w:w="578"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2.38</w:t>
            </w:r>
          </w:p>
        </w:tc>
        <w:tc>
          <w:tcPr>
            <w:tcW w:w="558"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49.6</w:t>
            </w:r>
          </w:p>
        </w:tc>
        <w:tc>
          <w:tcPr>
            <w:tcW w:w="617"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5</w:t>
            </w:r>
          </w:p>
        </w:tc>
        <w:tc>
          <w:tcPr>
            <w:tcW w:w="570" w:type="pct"/>
            <w:hideMark/>
          </w:tcPr>
          <w:p w:rsidR="0070028D" w:rsidRPr="00243542" w:rsidRDefault="0070028D" w:rsidP="00F65953">
            <w:pPr>
              <w:jc w:val="center"/>
              <w:rPr>
                <w:rFonts w:ascii="Calibri" w:hAnsi="Calibri"/>
                <w:color w:val="000000"/>
                <w:sz w:val="16"/>
                <w:szCs w:val="16"/>
              </w:rPr>
            </w:pPr>
            <w:r>
              <w:rPr>
                <w:rFonts w:ascii="Calibri" w:hAnsi="Calibri"/>
                <w:color w:val="000000"/>
                <w:sz w:val="16"/>
                <w:szCs w:val="16"/>
              </w:rPr>
              <w:t>27.3</w:t>
            </w:r>
          </w:p>
        </w:tc>
        <w:tc>
          <w:tcPr>
            <w:tcW w:w="553" w:type="pct"/>
            <w:hideMark/>
          </w:tcPr>
          <w:p w:rsidR="0070028D" w:rsidRPr="00243542" w:rsidRDefault="0070028D" w:rsidP="00F65953">
            <w:pPr>
              <w:jc w:val="center"/>
              <w:rPr>
                <w:rFonts w:ascii="Calibri" w:hAnsi="Calibri"/>
                <w:color w:val="000000"/>
                <w:sz w:val="16"/>
                <w:szCs w:val="16"/>
              </w:rPr>
            </w:pPr>
            <w:r>
              <w:rPr>
                <w:rFonts w:ascii="Calibri" w:hAnsi="Calibri"/>
                <w:color w:val="000000"/>
                <w:sz w:val="16"/>
                <w:szCs w:val="16"/>
              </w:rPr>
              <w:t>18.0</w:t>
            </w:r>
          </w:p>
        </w:tc>
        <w:tc>
          <w:tcPr>
            <w:tcW w:w="558" w:type="pct"/>
          </w:tcPr>
          <w:p w:rsidR="0070028D" w:rsidRPr="00243542" w:rsidRDefault="0070028D" w:rsidP="00F65953">
            <w:pPr>
              <w:jc w:val="center"/>
              <w:rPr>
                <w:rFonts w:ascii="Calibri" w:hAnsi="Calibri"/>
                <w:color w:val="000000"/>
                <w:sz w:val="16"/>
                <w:szCs w:val="16"/>
              </w:rPr>
            </w:pPr>
            <w:r>
              <w:rPr>
                <w:rFonts w:ascii="Calibri" w:hAnsi="Calibri"/>
                <w:color w:val="000000"/>
                <w:sz w:val="16"/>
                <w:szCs w:val="16"/>
              </w:rPr>
              <w:t>0</w:t>
            </w:r>
          </w:p>
        </w:tc>
      </w:tr>
      <w:tr w:rsidR="0070028D" w:rsidRPr="00243542" w:rsidTr="00301D81">
        <w:trPr>
          <w:trHeight w:val="388"/>
          <w:jc w:val="center"/>
        </w:trPr>
        <w:tc>
          <w:tcPr>
            <w:tcW w:w="889" w:type="pct"/>
            <w:hideMark/>
          </w:tcPr>
          <w:p w:rsidR="0070028D" w:rsidRPr="00243542" w:rsidRDefault="0070028D" w:rsidP="00F65953">
            <w:pPr>
              <w:jc w:val="center"/>
              <w:rPr>
                <w:rFonts w:asciiTheme="minorHAnsi" w:hAnsiTheme="minorHAnsi"/>
                <w:sz w:val="16"/>
                <w:szCs w:val="16"/>
              </w:rPr>
            </w:pPr>
            <w:r w:rsidRPr="00243542">
              <w:rPr>
                <w:rFonts w:asciiTheme="minorHAnsi" w:hAnsiTheme="minorHAnsi"/>
                <w:sz w:val="16"/>
                <w:szCs w:val="16"/>
              </w:rPr>
              <w:t>35% Di-</w:t>
            </w:r>
            <w:proofErr w:type="spellStart"/>
            <w:r w:rsidRPr="00243542">
              <w:rPr>
                <w:rFonts w:asciiTheme="minorHAnsi" w:hAnsiTheme="minorHAnsi"/>
                <w:sz w:val="16"/>
                <w:szCs w:val="16"/>
              </w:rPr>
              <w:t>Depoly</w:t>
            </w:r>
            <w:proofErr w:type="spellEnd"/>
          </w:p>
        </w:tc>
        <w:tc>
          <w:tcPr>
            <w:tcW w:w="675"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1600</w:t>
            </w:r>
          </w:p>
        </w:tc>
        <w:tc>
          <w:tcPr>
            <w:tcW w:w="578"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2.67</w:t>
            </w:r>
          </w:p>
        </w:tc>
        <w:tc>
          <w:tcPr>
            <w:tcW w:w="558" w:type="pct"/>
            <w:hideMark/>
          </w:tcPr>
          <w:p w:rsidR="0070028D" w:rsidRPr="00243542" w:rsidRDefault="0070028D" w:rsidP="00F65953">
            <w:pPr>
              <w:jc w:val="center"/>
              <w:rPr>
                <w:rFonts w:ascii="Calibri" w:hAnsi="Calibri"/>
                <w:color w:val="000000"/>
                <w:sz w:val="16"/>
                <w:szCs w:val="16"/>
              </w:rPr>
            </w:pPr>
            <w:r>
              <w:rPr>
                <w:rFonts w:ascii="Calibri" w:hAnsi="Calibri"/>
                <w:color w:val="000000"/>
                <w:sz w:val="16"/>
                <w:szCs w:val="16"/>
              </w:rPr>
              <w:t>47.9</w:t>
            </w:r>
          </w:p>
        </w:tc>
        <w:tc>
          <w:tcPr>
            <w:tcW w:w="617"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6.5</w:t>
            </w:r>
          </w:p>
        </w:tc>
        <w:tc>
          <w:tcPr>
            <w:tcW w:w="570" w:type="pct"/>
            <w:hideMark/>
          </w:tcPr>
          <w:p w:rsidR="0070028D" w:rsidRPr="00243542" w:rsidRDefault="0070028D" w:rsidP="00F65953">
            <w:pPr>
              <w:jc w:val="center"/>
              <w:rPr>
                <w:rFonts w:ascii="Calibri" w:hAnsi="Calibri"/>
                <w:color w:val="000000"/>
                <w:sz w:val="16"/>
                <w:szCs w:val="16"/>
              </w:rPr>
            </w:pPr>
            <w:r>
              <w:rPr>
                <w:rFonts w:ascii="Calibri" w:hAnsi="Calibri"/>
                <w:color w:val="000000"/>
                <w:sz w:val="16"/>
                <w:szCs w:val="16"/>
              </w:rPr>
              <w:t>29.9</w:t>
            </w:r>
          </w:p>
        </w:tc>
        <w:tc>
          <w:tcPr>
            <w:tcW w:w="553" w:type="pct"/>
            <w:hideMark/>
          </w:tcPr>
          <w:p w:rsidR="0070028D" w:rsidRPr="00243542" w:rsidRDefault="0070028D" w:rsidP="00F65953">
            <w:pPr>
              <w:jc w:val="center"/>
              <w:rPr>
                <w:rFonts w:ascii="Calibri" w:hAnsi="Calibri"/>
                <w:color w:val="000000"/>
                <w:sz w:val="16"/>
                <w:szCs w:val="16"/>
              </w:rPr>
            </w:pPr>
            <w:r>
              <w:rPr>
                <w:rFonts w:ascii="Calibri" w:hAnsi="Calibri"/>
                <w:color w:val="000000"/>
                <w:sz w:val="16"/>
                <w:szCs w:val="16"/>
              </w:rPr>
              <w:t>15.6</w:t>
            </w:r>
          </w:p>
        </w:tc>
        <w:tc>
          <w:tcPr>
            <w:tcW w:w="558" w:type="pct"/>
          </w:tcPr>
          <w:p w:rsidR="0070028D" w:rsidRPr="00243542" w:rsidRDefault="0070028D" w:rsidP="00F65953">
            <w:pPr>
              <w:jc w:val="center"/>
              <w:rPr>
                <w:rFonts w:ascii="Calibri" w:hAnsi="Calibri"/>
                <w:color w:val="000000"/>
                <w:sz w:val="16"/>
                <w:szCs w:val="16"/>
              </w:rPr>
            </w:pPr>
            <w:r>
              <w:rPr>
                <w:rFonts w:ascii="Calibri" w:hAnsi="Calibri"/>
                <w:color w:val="000000"/>
                <w:sz w:val="16"/>
                <w:szCs w:val="16"/>
              </w:rPr>
              <w:t>0</w:t>
            </w:r>
          </w:p>
        </w:tc>
      </w:tr>
      <w:tr w:rsidR="0070028D" w:rsidRPr="00243542" w:rsidTr="00301D81">
        <w:trPr>
          <w:trHeight w:val="117"/>
          <w:jc w:val="center"/>
        </w:trPr>
        <w:tc>
          <w:tcPr>
            <w:tcW w:w="889" w:type="pct"/>
          </w:tcPr>
          <w:p w:rsidR="0070028D" w:rsidRPr="00243542" w:rsidRDefault="0070028D" w:rsidP="00F65953">
            <w:pPr>
              <w:jc w:val="center"/>
              <w:rPr>
                <w:rFonts w:asciiTheme="minorHAnsi" w:hAnsiTheme="minorHAnsi"/>
                <w:sz w:val="16"/>
                <w:szCs w:val="16"/>
              </w:rPr>
            </w:pPr>
          </w:p>
        </w:tc>
        <w:tc>
          <w:tcPr>
            <w:tcW w:w="675" w:type="pct"/>
          </w:tcPr>
          <w:p w:rsidR="0070028D" w:rsidRPr="00243542" w:rsidRDefault="0070028D" w:rsidP="00F65953">
            <w:pPr>
              <w:jc w:val="center"/>
              <w:rPr>
                <w:sz w:val="20"/>
              </w:rPr>
            </w:pPr>
          </w:p>
        </w:tc>
        <w:tc>
          <w:tcPr>
            <w:tcW w:w="578" w:type="pct"/>
          </w:tcPr>
          <w:p w:rsidR="0070028D" w:rsidRPr="00243542" w:rsidRDefault="0070028D" w:rsidP="00F65953">
            <w:pPr>
              <w:jc w:val="center"/>
              <w:rPr>
                <w:sz w:val="20"/>
              </w:rPr>
            </w:pPr>
          </w:p>
        </w:tc>
        <w:tc>
          <w:tcPr>
            <w:tcW w:w="558" w:type="pct"/>
          </w:tcPr>
          <w:p w:rsidR="0070028D" w:rsidRPr="00243542" w:rsidRDefault="0070028D" w:rsidP="00F65953">
            <w:pPr>
              <w:jc w:val="center"/>
              <w:rPr>
                <w:sz w:val="20"/>
              </w:rPr>
            </w:pPr>
          </w:p>
        </w:tc>
        <w:tc>
          <w:tcPr>
            <w:tcW w:w="617" w:type="pct"/>
          </w:tcPr>
          <w:p w:rsidR="0070028D" w:rsidRPr="00243542" w:rsidRDefault="0070028D" w:rsidP="00F65953">
            <w:pPr>
              <w:jc w:val="center"/>
              <w:rPr>
                <w:sz w:val="20"/>
              </w:rPr>
            </w:pPr>
          </w:p>
        </w:tc>
        <w:tc>
          <w:tcPr>
            <w:tcW w:w="570" w:type="pct"/>
          </w:tcPr>
          <w:p w:rsidR="0070028D" w:rsidRPr="00243542" w:rsidRDefault="0070028D" w:rsidP="00F65953">
            <w:pPr>
              <w:jc w:val="center"/>
              <w:rPr>
                <w:sz w:val="20"/>
              </w:rPr>
            </w:pPr>
          </w:p>
        </w:tc>
        <w:tc>
          <w:tcPr>
            <w:tcW w:w="553" w:type="pct"/>
          </w:tcPr>
          <w:p w:rsidR="0070028D" w:rsidRPr="00243542" w:rsidRDefault="0070028D" w:rsidP="00F65953">
            <w:pPr>
              <w:jc w:val="center"/>
              <w:rPr>
                <w:sz w:val="20"/>
              </w:rPr>
            </w:pPr>
          </w:p>
        </w:tc>
        <w:tc>
          <w:tcPr>
            <w:tcW w:w="558" w:type="pct"/>
          </w:tcPr>
          <w:p w:rsidR="0070028D" w:rsidRPr="00243542" w:rsidRDefault="0070028D" w:rsidP="00F65953">
            <w:pPr>
              <w:jc w:val="center"/>
              <w:rPr>
                <w:sz w:val="20"/>
              </w:rPr>
            </w:pPr>
          </w:p>
        </w:tc>
      </w:tr>
      <w:tr w:rsidR="0070028D" w:rsidRPr="00243542" w:rsidTr="00301D81">
        <w:trPr>
          <w:trHeight w:val="388"/>
          <w:jc w:val="center"/>
        </w:trPr>
        <w:tc>
          <w:tcPr>
            <w:tcW w:w="889" w:type="pct"/>
            <w:hideMark/>
          </w:tcPr>
          <w:p w:rsidR="0070028D" w:rsidRPr="00243542" w:rsidRDefault="0070028D" w:rsidP="00F65953">
            <w:pPr>
              <w:jc w:val="center"/>
              <w:rPr>
                <w:rFonts w:asciiTheme="minorHAnsi" w:hAnsiTheme="minorHAnsi"/>
                <w:sz w:val="16"/>
                <w:szCs w:val="16"/>
              </w:rPr>
            </w:pPr>
            <w:r w:rsidRPr="00243542">
              <w:rPr>
                <w:rFonts w:asciiTheme="minorHAnsi" w:hAnsiTheme="minorHAnsi"/>
                <w:sz w:val="16"/>
                <w:szCs w:val="16"/>
              </w:rPr>
              <w:t>FMS-75%Di</w:t>
            </w:r>
          </w:p>
        </w:tc>
        <w:tc>
          <w:tcPr>
            <w:tcW w:w="675"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1566</w:t>
            </w:r>
          </w:p>
        </w:tc>
        <w:tc>
          <w:tcPr>
            <w:tcW w:w="578" w:type="pct"/>
            <w:hideMark/>
          </w:tcPr>
          <w:p w:rsidR="0070028D" w:rsidRPr="00243542" w:rsidRDefault="0070028D" w:rsidP="00F65953">
            <w:pPr>
              <w:jc w:val="center"/>
              <w:rPr>
                <w:rFonts w:ascii="Calibri" w:hAnsi="Calibri"/>
                <w:color w:val="000000"/>
                <w:sz w:val="16"/>
                <w:szCs w:val="16"/>
              </w:rPr>
            </w:pPr>
            <w:r>
              <w:rPr>
                <w:rFonts w:ascii="Calibri" w:hAnsi="Calibri"/>
                <w:color w:val="000000"/>
                <w:sz w:val="16"/>
                <w:szCs w:val="16"/>
              </w:rPr>
              <w:t>1.89</w:t>
            </w:r>
          </w:p>
        </w:tc>
        <w:tc>
          <w:tcPr>
            <w:tcW w:w="558"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49.0</w:t>
            </w:r>
          </w:p>
        </w:tc>
        <w:tc>
          <w:tcPr>
            <w:tcW w:w="617" w:type="pct"/>
            <w:hideMark/>
          </w:tcPr>
          <w:p w:rsidR="0070028D" w:rsidRPr="00243542" w:rsidRDefault="0070028D" w:rsidP="00F65953">
            <w:pPr>
              <w:jc w:val="center"/>
              <w:rPr>
                <w:rFonts w:ascii="Calibri" w:hAnsi="Calibri"/>
                <w:color w:val="000000"/>
                <w:sz w:val="16"/>
                <w:szCs w:val="16"/>
              </w:rPr>
            </w:pPr>
            <w:r w:rsidRPr="00243542">
              <w:rPr>
                <w:rFonts w:ascii="Calibri" w:hAnsi="Calibri"/>
                <w:color w:val="000000"/>
                <w:sz w:val="16"/>
                <w:szCs w:val="16"/>
              </w:rPr>
              <w:t>0</w:t>
            </w:r>
          </w:p>
        </w:tc>
        <w:tc>
          <w:tcPr>
            <w:tcW w:w="570" w:type="pct"/>
            <w:hideMark/>
          </w:tcPr>
          <w:p w:rsidR="0070028D" w:rsidRPr="00243542" w:rsidRDefault="0070028D" w:rsidP="00F65953">
            <w:pPr>
              <w:jc w:val="center"/>
              <w:rPr>
                <w:rFonts w:ascii="Calibri" w:hAnsi="Calibri"/>
                <w:color w:val="000000"/>
                <w:sz w:val="16"/>
                <w:szCs w:val="16"/>
              </w:rPr>
            </w:pPr>
            <w:r>
              <w:rPr>
                <w:rFonts w:ascii="Calibri" w:hAnsi="Calibri"/>
                <w:color w:val="000000"/>
                <w:sz w:val="16"/>
                <w:szCs w:val="16"/>
              </w:rPr>
              <w:t>17.7</w:t>
            </w:r>
          </w:p>
        </w:tc>
        <w:tc>
          <w:tcPr>
            <w:tcW w:w="553" w:type="pct"/>
            <w:hideMark/>
          </w:tcPr>
          <w:p w:rsidR="0070028D" w:rsidRPr="00243542" w:rsidRDefault="0070028D" w:rsidP="00F65953">
            <w:pPr>
              <w:jc w:val="center"/>
              <w:rPr>
                <w:rFonts w:ascii="Calibri" w:hAnsi="Calibri"/>
                <w:color w:val="000000"/>
                <w:sz w:val="16"/>
                <w:szCs w:val="16"/>
              </w:rPr>
            </w:pPr>
            <w:r>
              <w:rPr>
                <w:rFonts w:ascii="Calibri" w:hAnsi="Calibri"/>
                <w:color w:val="000000"/>
                <w:sz w:val="16"/>
                <w:szCs w:val="16"/>
              </w:rPr>
              <w:t>19.4</w:t>
            </w:r>
          </w:p>
        </w:tc>
        <w:tc>
          <w:tcPr>
            <w:tcW w:w="558" w:type="pct"/>
            <w:hideMark/>
          </w:tcPr>
          <w:p w:rsidR="0070028D" w:rsidRPr="00243542" w:rsidRDefault="0070028D" w:rsidP="00F65953">
            <w:pPr>
              <w:jc w:val="center"/>
              <w:rPr>
                <w:rFonts w:ascii="Calibri" w:hAnsi="Calibri"/>
                <w:color w:val="000000"/>
                <w:sz w:val="16"/>
                <w:szCs w:val="16"/>
              </w:rPr>
            </w:pPr>
            <w:r>
              <w:rPr>
                <w:rFonts w:ascii="Calibri" w:hAnsi="Calibri"/>
                <w:color w:val="000000"/>
                <w:sz w:val="16"/>
                <w:szCs w:val="16"/>
              </w:rPr>
              <w:t>13.9</w:t>
            </w:r>
          </w:p>
        </w:tc>
      </w:tr>
      <w:tr w:rsidR="0070028D" w:rsidRPr="00243542" w:rsidTr="00301D81">
        <w:trPr>
          <w:trHeight w:val="381"/>
          <w:jc w:val="center"/>
        </w:trPr>
        <w:tc>
          <w:tcPr>
            <w:tcW w:w="889" w:type="pct"/>
            <w:hideMark/>
          </w:tcPr>
          <w:p w:rsidR="0070028D" w:rsidRPr="00243542" w:rsidRDefault="0070028D" w:rsidP="00F65953">
            <w:pPr>
              <w:jc w:val="center"/>
              <w:rPr>
                <w:rFonts w:asciiTheme="minorHAnsi" w:hAnsiTheme="minorHAnsi"/>
                <w:sz w:val="16"/>
                <w:szCs w:val="16"/>
              </w:rPr>
            </w:pPr>
            <w:r w:rsidRPr="00243542">
              <w:rPr>
                <w:rFonts w:asciiTheme="minorHAnsi" w:hAnsiTheme="minorHAnsi"/>
                <w:sz w:val="16"/>
                <w:szCs w:val="16"/>
              </w:rPr>
              <w:t>FMS-50% Di</w:t>
            </w:r>
          </w:p>
        </w:tc>
        <w:tc>
          <w:tcPr>
            <w:tcW w:w="675" w:type="pct"/>
            <w:hideMark/>
          </w:tcPr>
          <w:p w:rsidR="0070028D" w:rsidRPr="00243542" w:rsidRDefault="0070028D" w:rsidP="00F65953">
            <w:pPr>
              <w:jc w:val="center"/>
              <w:rPr>
                <w:rFonts w:asciiTheme="minorHAnsi" w:hAnsiTheme="minorHAnsi"/>
                <w:color w:val="000000"/>
                <w:sz w:val="16"/>
                <w:szCs w:val="16"/>
              </w:rPr>
            </w:pPr>
            <w:r w:rsidRPr="00243542">
              <w:rPr>
                <w:rFonts w:asciiTheme="minorHAnsi" w:hAnsiTheme="minorHAnsi"/>
                <w:color w:val="000000"/>
                <w:sz w:val="16"/>
                <w:szCs w:val="16"/>
              </w:rPr>
              <w:t>1566</w:t>
            </w:r>
          </w:p>
        </w:tc>
        <w:tc>
          <w:tcPr>
            <w:tcW w:w="578" w:type="pct"/>
            <w:hideMark/>
          </w:tcPr>
          <w:p w:rsidR="0070028D" w:rsidRPr="00243542" w:rsidRDefault="0070028D" w:rsidP="00F65953">
            <w:pPr>
              <w:jc w:val="center"/>
              <w:rPr>
                <w:rFonts w:asciiTheme="minorHAnsi" w:hAnsiTheme="minorHAnsi"/>
                <w:color w:val="000000"/>
                <w:sz w:val="16"/>
                <w:szCs w:val="16"/>
              </w:rPr>
            </w:pPr>
            <w:r>
              <w:rPr>
                <w:rFonts w:asciiTheme="minorHAnsi" w:hAnsiTheme="minorHAnsi"/>
                <w:color w:val="000000"/>
                <w:sz w:val="16"/>
                <w:szCs w:val="16"/>
              </w:rPr>
              <w:t>1.56</w:t>
            </w:r>
          </w:p>
        </w:tc>
        <w:tc>
          <w:tcPr>
            <w:tcW w:w="558" w:type="pct"/>
            <w:hideMark/>
          </w:tcPr>
          <w:p w:rsidR="0070028D" w:rsidRPr="00243542" w:rsidRDefault="0070028D" w:rsidP="00F65953">
            <w:pPr>
              <w:jc w:val="center"/>
              <w:rPr>
                <w:rFonts w:asciiTheme="minorHAnsi" w:hAnsiTheme="minorHAnsi"/>
                <w:sz w:val="16"/>
                <w:szCs w:val="16"/>
              </w:rPr>
            </w:pPr>
            <w:r w:rsidRPr="00243542">
              <w:rPr>
                <w:rFonts w:asciiTheme="minorHAnsi" w:hAnsiTheme="minorHAnsi"/>
                <w:sz w:val="16"/>
                <w:szCs w:val="16"/>
              </w:rPr>
              <w:t>42.5</w:t>
            </w:r>
          </w:p>
        </w:tc>
        <w:tc>
          <w:tcPr>
            <w:tcW w:w="617" w:type="pct"/>
            <w:hideMark/>
          </w:tcPr>
          <w:p w:rsidR="0070028D" w:rsidRPr="00243542" w:rsidRDefault="0070028D" w:rsidP="00F65953">
            <w:pPr>
              <w:jc w:val="center"/>
              <w:rPr>
                <w:rFonts w:asciiTheme="minorHAnsi" w:hAnsiTheme="minorHAnsi"/>
                <w:sz w:val="16"/>
                <w:szCs w:val="16"/>
              </w:rPr>
            </w:pPr>
            <w:r w:rsidRPr="00243542">
              <w:rPr>
                <w:rFonts w:asciiTheme="minorHAnsi" w:hAnsiTheme="minorHAnsi"/>
                <w:sz w:val="16"/>
                <w:szCs w:val="16"/>
              </w:rPr>
              <w:t>0</w:t>
            </w:r>
          </w:p>
        </w:tc>
        <w:tc>
          <w:tcPr>
            <w:tcW w:w="570" w:type="pct"/>
            <w:hideMark/>
          </w:tcPr>
          <w:p w:rsidR="0070028D" w:rsidRPr="00243542" w:rsidRDefault="0070028D" w:rsidP="00F65953">
            <w:pPr>
              <w:jc w:val="center"/>
              <w:rPr>
                <w:rFonts w:asciiTheme="minorHAnsi" w:hAnsiTheme="minorHAnsi"/>
                <w:sz w:val="16"/>
                <w:szCs w:val="16"/>
              </w:rPr>
            </w:pPr>
            <w:r>
              <w:rPr>
                <w:rFonts w:asciiTheme="minorHAnsi" w:hAnsiTheme="minorHAnsi"/>
                <w:sz w:val="16"/>
                <w:szCs w:val="16"/>
              </w:rPr>
              <w:t>16.9</w:t>
            </w:r>
          </w:p>
        </w:tc>
        <w:tc>
          <w:tcPr>
            <w:tcW w:w="553" w:type="pct"/>
            <w:hideMark/>
          </w:tcPr>
          <w:p w:rsidR="0070028D" w:rsidRPr="00243542" w:rsidRDefault="0070028D" w:rsidP="00F65953">
            <w:pPr>
              <w:jc w:val="center"/>
              <w:rPr>
                <w:rFonts w:asciiTheme="minorHAnsi" w:hAnsiTheme="minorHAnsi"/>
                <w:sz w:val="16"/>
                <w:szCs w:val="16"/>
              </w:rPr>
            </w:pPr>
            <w:r>
              <w:rPr>
                <w:rFonts w:asciiTheme="minorHAnsi" w:hAnsiTheme="minorHAnsi"/>
                <w:sz w:val="16"/>
                <w:szCs w:val="16"/>
              </w:rPr>
              <w:t>13.0</w:t>
            </w:r>
          </w:p>
        </w:tc>
        <w:tc>
          <w:tcPr>
            <w:tcW w:w="558" w:type="pct"/>
            <w:hideMark/>
          </w:tcPr>
          <w:p w:rsidR="0070028D" w:rsidRPr="00243542" w:rsidRDefault="0070028D" w:rsidP="00F65953">
            <w:pPr>
              <w:jc w:val="center"/>
              <w:rPr>
                <w:rFonts w:asciiTheme="minorHAnsi" w:hAnsiTheme="minorHAnsi"/>
                <w:color w:val="000000"/>
                <w:sz w:val="16"/>
                <w:szCs w:val="16"/>
              </w:rPr>
            </w:pPr>
            <w:r w:rsidRPr="00243542">
              <w:rPr>
                <w:rFonts w:asciiTheme="minorHAnsi" w:hAnsiTheme="minorHAnsi"/>
                <w:color w:val="000000"/>
                <w:sz w:val="16"/>
                <w:szCs w:val="16"/>
              </w:rPr>
              <w:t>27.7</w:t>
            </w:r>
          </w:p>
        </w:tc>
      </w:tr>
      <w:tr w:rsidR="0070028D" w:rsidRPr="00243542" w:rsidTr="00301D81">
        <w:trPr>
          <w:trHeight w:val="388"/>
          <w:jc w:val="center"/>
        </w:trPr>
        <w:tc>
          <w:tcPr>
            <w:tcW w:w="889" w:type="pct"/>
            <w:hideMark/>
          </w:tcPr>
          <w:p w:rsidR="0070028D" w:rsidRPr="00243542" w:rsidRDefault="0070028D" w:rsidP="00F65953">
            <w:pPr>
              <w:jc w:val="center"/>
              <w:rPr>
                <w:rFonts w:asciiTheme="minorHAnsi" w:hAnsiTheme="minorHAnsi"/>
                <w:sz w:val="16"/>
                <w:szCs w:val="16"/>
              </w:rPr>
            </w:pPr>
            <w:r w:rsidRPr="00243542">
              <w:rPr>
                <w:rFonts w:asciiTheme="minorHAnsi" w:hAnsiTheme="minorHAnsi"/>
                <w:sz w:val="16"/>
                <w:szCs w:val="16"/>
              </w:rPr>
              <w:t>FMS-25%Di</w:t>
            </w:r>
          </w:p>
        </w:tc>
        <w:tc>
          <w:tcPr>
            <w:tcW w:w="675" w:type="pct"/>
            <w:hideMark/>
          </w:tcPr>
          <w:p w:rsidR="0070028D" w:rsidRPr="00243542" w:rsidRDefault="0070028D" w:rsidP="00F65953">
            <w:pPr>
              <w:jc w:val="center"/>
              <w:rPr>
                <w:rFonts w:asciiTheme="minorHAnsi" w:hAnsiTheme="minorHAnsi"/>
                <w:color w:val="000000"/>
                <w:sz w:val="16"/>
                <w:szCs w:val="16"/>
              </w:rPr>
            </w:pPr>
            <w:r w:rsidRPr="00243542">
              <w:rPr>
                <w:rFonts w:asciiTheme="minorHAnsi" w:hAnsiTheme="minorHAnsi"/>
                <w:color w:val="000000"/>
                <w:sz w:val="16"/>
                <w:szCs w:val="16"/>
              </w:rPr>
              <w:t>1564</w:t>
            </w:r>
          </w:p>
        </w:tc>
        <w:tc>
          <w:tcPr>
            <w:tcW w:w="578" w:type="pct"/>
            <w:hideMark/>
          </w:tcPr>
          <w:p w:rsidR="0070028D" w:rsidRPr="00243542" w:rsidRDefault="0070028D" w:rsidP="00F65953">
            <w:pPr>
              <w:jc w:val="center"/>
              <w:rPr>
                <w:rFonts w:asciiTheme="minorHAnsi" w:hAnsiTheme="minorHAnsi"/>
                <w:color w:val="000000"/>
                <w:sz w:val="16"/>
                <w:szCs w:val="16"/>
              </w:rPr>
            </w:pPr>
            <w:r>
              <w:rPr>
                <w:rFonts w:asciiTheme="minorHAnsi" w:hAnsiTheme="minorHAnsi"/>
                <w:color w:val="000000"/>
                <w:sz w:val="16"/>
                <w:szCs w:val="16"/>
              </w:rPr>
              <w:t>1.33</w:t>
            </w:r>
          </w:p>
        </w:tc>
        <w:tc>
          <w:tcPr>
            <w:tcW w:w="558" w:type="pct"/>
            <w:hideMark/>
          </w:tcPr>
          <w:p w:rsidR="0070028D" w:rsidRPr="00243542" w:rsidRDefault="0070028D" w:rsidP="00F65953">
            <w:pPr>
              <w:jc w:val="center"/>
              <w:rPr>
                <w:rFonts w:asciiTheme="minorHAnsi" w:hAnsiTheme="minorHAnsi"/>
                <w:sz w:val="16"/>
                <w:szCs w:val="16"/>
              </w:rPr>
            </w:pPr>
            <w:r w:rsidRPr="00243542">
              <w:rPr>
                <w:rFonts w:asciiTheme="minorHAnsi" w:hAnsiTheme="minorHAnsi"/>
                <w:sz w:val="16"/>
                <w:szCs w:val="16"/>
              </w:rPr>
              <w:t>36.0</w:t>
            </w:r>
          </w:p>
        </w:tc>
        <w:tc>
          <w:tcPr>
            <w:tcW w:w="617" w:type="pct"/>
            <w:hideMark/>
          </w:tcPr>
          <w:p w:rsidR="0070028D" w:rsidRPr="00243542" w:rsidRDefault="0070028D" w:rsidP="00F65953">
            <w:pPr>
              <w:jc w:val="center"/>
              <w:rPr>
                <w:rFonts w:asciiTheme="minorHAnsi" w:hAnsiTheme="minorHAnsi"/>
                <w:sz w:val="16"/>
                <w:szCs w:val="16"/>
              </w:rPr>
            </w:pPr>
            <w:r w:rsidRPr="00243542">
              <w:rPr>
                <w:rFonts w:asciiTheme="minorHAnsi" w:hAnsiTheme="minorHAnsi"/>
                <w:sz w:val="16"/>
                <w:szCs w:val="16"/>
              </w:rPr>
              <w:t>0</w:t>
            </w:r>
          </w:p>
        </w:tc>
        <w:tc>
          <w:tcPr>
            <w:tcW w:w="570" w:type="pct"/>
            <w:hideMark/>
          </w:tcPr>
          <w:p w:rsidR="0070028D" w:rsidRPr="00243542" w:rsidRDefault="0070028D" w:rsidP="00F65953">
            <w:pPr>
              <w:jc w:val="center"/>
              <w:rPr>
                <w:rFonts w:asciiTheme="minorHAnsi" w:hAnsiTheme="minorHAnsi"/>
                <w:sz w:val="16"/>
                <w:szCs w:val="16"/>
              </w:rPr>
            </w:pPr>
            <w:r>
              <w:rPr>
                <w:rFonts w:asciiTheme="minorHAnsi" w:hAnsiTheme="minorHAnsi"/>
                <w:sz w:val="16"/>
                <w:szCs w:val="16"/>
              </w:rPr>
              <w:t>16.0</w:t>
            </w:r>
          </w:p>
        </w:tc>
        <w:tc>
          <w:tcPr>
            <w:tcW w:w="553" w:type="pct"/>
            <w:hideMark/>
          </w:tcPr>
          <w:p w:rsidR="0070028D" w:rsidRPr="00243542" w:rsidRDefault="0070028D" w:rsidP="00F65953">
            <w:pPr>
              <w:jc w:val="center"/>
              <w:rPr>
                <w:rFonts w:asciiTheme="minorHAnsi" w:hAnsiTheme="minorHAnsi"/>
                <w:sz w:val="16"/>
                <w:szCs w:val="16"/>
              </w:rPr>
            </w:pPr>
            <w:r>
              <w:rPr>
                <w:rFonts w:asciiTheme="minorHAnsi" w:hAnsiTheme="minorHAnsi"/>
                <w:sz w:val="16"/>
                <w:szCs w:val="16"/>
              </w:rPr>
              <w:t>6.5</w:t>
            </w:r>
          </w:p>
        </w:tc>
        <w:tc>
          <w:tcPr>
            <w:tcW w:w="558" w:type="pct"/>
            <w:hideMark/>
          </w:tcPr>
          <w:p w:rsidR="0070028D" w:rsidRPr="00243542" w:rsidRDefault="0070028D" w:rsidP="00F65953">
            <w:pPr>
              <w:jc w:val="center"/>
              <w:rPr>
                <w:rFonts w:asciiTheme="minorHAnsi" w:hAnsiTheme="minorHAnsi"/>
                <w:color w:val="000000"/>
                <w:sz w:val="16"/>
                <w:szCs w:val="16"/>
              </w:rPr>
            </w:pPr>
            <w:r>
              <w:rPr>
                <w:rFonts w:asciiTheme="minorHAnsi" w:hAnsiTheme="minorHAnsi"/>
                <w:color w:val="000000"/>
                <w:sz w:val="16"/>
                <w:szCs w:val="16"/>
              </w:rPr>
              <w:t>41.6</w:t>
            </w:r>
          </w:p>
        </w:tc>
      </w:tr>
      <w:tr w:rsidR="0070028D" w:rsidRPr="00243542" w:rsidTr="00301D81">
        <w:trPr>
          <w:trHeight w:val="388"/>
          <w:jc w:val="center"/>
        </w:trPr>
        <w:tc>
          <w:tcPr>
            <w:tcW w:w="889" w:type="pct"/>
            <w:hideMark/>
          </w:tcPr>
          <w:p w:rsidR="0070028D" w:rsidRPr="00243542" w:rsidRDefault="0070028D" w:rsidP="00F65953">
            <w:pPr>
              <w:jc w:val="center"/>
              <w:rPr>
                <w:rFonts w:asciiTheme="minorHAnsi" w:hAnsiTheme="minorHAnsi"/>
                <w:sz w:val="16"/>
                <w:szCs w:val="16"/>
              </w:rPr>
            </w:pPr>
            <w:r w:rsidRPr="00243542">
              <w:rPr>
                <w:rFonts w:asciiTheme="minorHAnsi" w:hAnsiTheme="minorHAnsi"/>
                <w:sz w:val="16"/>
                <w:szCs w:val="16"/>
              </w:rPr>
              <w:t>FMS-0%Di</w:t>
            </w:r>
          </w:p>
        </w:tc>
        <w:tc>
          <w:tcPr>
            <w:tcW w:w="675" w:type="pct"/>
            <w:hideMark/>
          </w:tcPr>
          <w:p w:rsidR="0070028D" w:rsidRPr="00243542" w:rsidRDefault="0070028D" w:rsidP="00F65953">
            <w:pPr>
              <w:jc w:val="center"/>
              <w:rPr>
                <w:rFonts w:asciiTheme="minorHAnsi" w:hAnsiTheme="minorHAnsi"/>
                <w:color w:val="000000"/>
                <w:sz w:val="16"/>
                <w:szCs w:val="16"/>
              </w:rPr>
            </w:pPr>
            <w:r w:rsidRPr="00243542">
              <w:rPr>
                <w:rFonts w:asciiTheme="minorHAnsi" w:hAnsiTheme="minorHAnsi"/>
                <w:color w:val="000000"/>
                <w:sz w:val="16"/>
                <w:szCs w:val="16"/>
              </w:rPr>
              <w:t>1564</w:t>
            </w:r>
          </w:p>
        </w:tc>
        <w:tc>
          <w:tcPr>
            <w:tcW w:w="578" w:type="pct"/>
            <w:hideMark/>
          </w:tcPr>
          <w:p w:rsidR="0070028D" w:rsidRPr="00243542" w:rsidRDefault="0070028D" w:rsidP="00F65953">
            <w:pPr>
              <w:jc w:val="center"/>
              <w:rPr>
                <w:rFonts w:asciiTheme="minorHAnsi" w:hAnsiTheme="minorHAnsi"/>
                <w:color w:val="000000"/>
                <w:sz w:val="16"/>
                <w:szCs w:val="16"/>
              </w:rPr>
            </w:pPr>
            <w:r>
              <w:rPr>
                <w:rFonts w:asciiTheme="minorHAnsi" w:hAnsiTheme="minorHAnsi"/>
                <w:color w:val="000000"/>
                <w:sz w:val="16"/>
                <w:szCs w:val="16"/>
              </w:rPr>
              <w:t>1.32</w:t>
            </w:r>
          </w:p>
        </w:tc>
        <w:tc>
          <w:tcPr>
            <w:tcW w:w="558" w:type="pct"/>
            <w:hideMark/>
          </w:tcPr>
          <w:p w:rsidR="0070028D" w:rsidRPr="00243542" w:rsidRDefault="0070028D" w:rsidP="00F65953">
            <w:pPr>
              <w:jc w:val="center"/>
              <w:rPr>
                <w:rFonts w:asciiTheme="minorHAnsi" w:hAnsiTheme="minorHAnsi"/>
                <w:sz w:val="16"/>
                <w:szCs w:val="16"/>
              </w:rPr>
            </w:pPr>
            <w:r w:rsidRPr="00243542">
              <w:rPr>
                <w:rFonts w:asciiTheme="minorHAnsi" w:hAnsiTheme="minorHAnsi"/>
                <w:sz w:val="16"/>
                <w:szCs w:val="16"/>
              </w:rPr>
              <w:t>29.5</w:t>
            </w:r>
          </w:p>
        </w:tc>
        <w:tc>
          <w:tcPr>
            <w:tcW w:w="617" w:type="pct"/>
            <w:hideMark/>
          </w:tcPr>
          <w:p w:rsidR="0070028D" w:rsidRPr="00243542" w:rsidRDefault="0070028D" w:rsidP="00F65953">
            <w:pPr>
              <w:jc w:val="center"/>
              <w:rPr>
                <w:rFonts w:asciiTheme="minorHAnsi" w:hAnsiTheme="minorHAnsi"/>
                <w:sz w:val="16"/>
                <w:szCs w:val="16"/>
              </w:rPr>
            </w:pPr>
            <w:r w:rsidRPr="00243542">
              <w:rPr>
                <w:rFonts w:asciiTheme="minorHAnsi" w:hAnsiTheme="minorHAnsi"/>
                <w:sz w:val="16"/>
                <w:szCs w:val="16"/>
              </w:rPr>
              <w:t>0</w:t>
            </w:r>
          </w:p>
        </w:tc>
        <w:tc>
          <w:tcPr>
            <w:tcW w:w="570" w:type="pct"/>
            <w:hideMark/>
          </w:tcPr>
          <w:p w:rsidR="0070028D" w:rsidRPr="00243542" w:rsidRDefault="0070028D" w:rsidP="00F65953">
            <w:pPr>
              <w:jc w:val="center"/>
              <w:rPr>
                <w:rFonts w:asciiTheme="minorHAnsi" w:hAnsiTheme="minorHAnsi"/>
                <w:sz w:val="16"/>
                <w:szCs w:val="16"/>
              </w:rPr>
            </w:pPr>
            <w:r>
              <w:rPr>
                <w:rFonts w:asciiTheme="minorHAnsi" w:hAnsiTheme="minorHAnsi"/>
                <w:sz w:val="16"/>
                <w:szCs w:val="16"/>
              </w:rPr>
              <w:t>15.1</w:t>
            </w:r>
          </w:p>
        </w:tc>
        <w:tc>
          <w:tcPr>
            <w:tcW w:w="553" w:type="pct"/>
            <w:hideMark/>
          </w:tcPr>
          <w:p w:rsidR="0070028D" w:rsidRPr="00243542" w:rsidRDefault="0070028D" w:rsidP="00F65953">
            <w:pPr>
              <w:jc w:val="center"/>
              <w:rPr>
                <w:rFonts w:asciiTheme="minorHAnsi" w:hAnsiTheme="minorHAnsi"/>
                <w:sz w:val="16"/>
                <w:szCs w:val="16"/>
              </w:rPr>
            </w:pPr>
            <w:r w:rsidRPr="00243542">
              <w:rPr>
                <w:rFonts w:asciiTheme="minorHAnsi" w:hAnsiTheme="minorHAnsi"/>
                <w:sz w:val="16"/>
                <w:szCs w:val="16"/>
              </w:rPr>
              <w:t>0</w:t>
            </w:r>
          </w:p>
        </w:tc>
        <w:tc>
          <w:tcPr>
            <w:tcW w:w="558" w:type="pct"/>
            <w:hideMark/>
          </w:tcPr>
          <w:p w:rsidR="0070028D" w:rsidRPr="00243542" w:rsidRDefault="0070028D" w:rsidP="00F65953">
            <w:pPr>
              <w:jc w:val="center"/>
              <w:rPr>
                <w:rFonts w:asciiTheme="minorHAnsi" w:hAnsiTheme="minorHAnsi"/>
                <w:color w:val="000000"/>
                <w:sz w:val="16"/>
                <w:szCs w:val="16"/>
              </w:rPr>
            </w:pPr>
            <w:r w:rsidRPr="00243542">
              <w:rPr>
                <w:rFonts w:asciiTheme="minorHAnsi" w:hAnsiTheme="minorHAnsi"/>
                <w:color w:val="000000"/>
                <w:sz w:val="16"/>
                <w:szCs w:val="16"/>
              </w:rPr>
              <w:t>55.4</w:t>
            </w:r>
          </w:p>
        </w:tc>
      </w:tr>
    </w:tbl>
    <w:p w:rsidR="00621148" w:rsidRDefault="00621148" w:rsidP="006775BC">
      <w:pPr>
        <w:spacing w:line="120" w:lineRule="exact"/>
        <w:ind w:firstLine="288"/>
        <w:jc w:val="both"/>
        <w:rPr>
          <w:b/>
          <w:sz w:val="20"/>
        </w:rPr>
      </w:pPr>
    </w:p>
    <w:p w:rsidR="00B9161C" w:rsidRDefault="0039030E">
      <w:pPr>
        <w:spacing w:line="240" w:lineRule="atLeast"/>
        <w:ind w:firstLine="288"/>
        <w:jc w:val="both"/>
        <w:rPr>
          <w:sz w:val="20"/>
        </w:rPr>
      </w:pPr>
      <w:r w:rsidRPr="00243542">
        <w:rPr>
          <w:b/>
          <w:sz w:val="20"/>
        </w:rPr>
        <w:t xml:space="preserve">Modeling </w:t>
      </w:r>
      <w:proofErr w:type="spellStart"/>
      <w:r w:rsidRPr="00243542">
        <w:rPr>
          <w:b/>
          <w:sz w:val="20"/>
        </w:rPr>
        <w:t>NiO</w:t>
      </w:r>
      <w:proofErr w:type="spellEnd"/>
      <w:r w:rsidRPr="00243542">
        <w:rPr>
          <w:b/>
          <w:sz w:val="20"/>
        </w:rPr>
        <w:t xml:space="preserve"> Activity: </w:t>
      </w:r>
      <w:r w:rsidR="00F12EEB">
        <w:rPr>
          <w:sz w:val="20"/>
        </w:rPr>
        <w:t xml:space="preserve">Activities for </w:t>
      </w:r>
      <w:proofErr w:type="spellStart"/>
      <w:r w:rsidR="00F12EEB">
        <w:rPr>
          <w:sz w:val="20"/>
        </w:rPr>
        <w:t>N</w:t>
      </w:r>
      <w:r w:rsidRPr="00243542">
        <w:rPr>
          <w:sz w:val="20"/>
        </w:rPr>
        <w:t>iO</w:t>
      </w:r>
      <w:proofErr w:type="spellEnd"/>
      <w:r w:rsidRPr="00243542">
        <w:rPr>
          <w:sz w:val="20"/>
        </w:rPr>
        <w:t xml:space="preserve"> </w:t>
      </w:r>
      <w:r w:rsidR="00F12EEB">
        <w:rPr>
          <w:sz w:val="20"/>
        </w:rPr>
        <w:t>in silicate melts vary in a complex way with melt polymerization</w:t>
      </w:r>
      <w:r w:rsidR="00B9161C">
        <w:rPr>
          <w:sz w:val="20"/>
        </w:rPr>
        <w:t>,</w:t>
      </w:r>
      <w:r w:rsidR="00F12EEB">
        <w:rPr>
          <w:sz w:val="20"/>
        </w:rPr>
        <w:t xml:space="preserve"> as shown both by the degree of scatter in the data </w:t>
      </w:r>
      <w:r w:rsidR="001B7018">
        <w:rPr>
          <w:sz w:val="20"/>
        </w:rPr>
        <w:t xml:space="preserve">seen in Figure 1 </w:t>
      </w:r>
      <w:r w:rsidR="00F12EEB">
        <w:rPr>
          <w:sz w:val="20"/>
        </w:rPr>
        <w:t>and in the apparent re</w:t>
      </w:r>
      <w:r w:rsidR="001B7018">
        <w:rPr>
          <w:sz w:val="20"/>
        </w:rPr>
        <w:t>versal of trend</w:t>
      </w:r>
      <w:r w:rsidR="00F12EEB">
        <w:rPr>
          <w:sz w:val="20"/>
        </w:rPr>
        <w:t xml:space="preserve">. </w:t>
      </w:r>
    </w:p>
    <w:p w:rsidR="00B9161C" w:rsidRDefault="00F12EEB">
      <w:pPr>
        <w:spacing w:line="240" w:lineRule="atLeast"/>
        <w:ind w:firstLine="288"/>
        <w:jc w:val="both"/>
        <w:rPr>
          <w:sz w:val="20"/>
        </w:rPr>
      </w:pPr>
      <w:r>
        <w:rPr>
          <w:sz w:val="20"/>
        </w:rPr>
        <w:t xml:space="preserve"> </w:t>
      </w:r>
      <w:r w:rsidR="00B9161C">
        <w:rPr>
          <w:sz w:val="20"/>
        </w:rPr>
        <w:t>We have proposed previously [</w:t>
      </w:r>
      <w:r w:rsidR="001B7018">
        <w:rPr>
          <w:sz w:val="20"/>
        </w:rPr>
        <w:t>1, 2</w:t>
      </w:r>
      <w:r w:rsidR="00B9161C">
        <w:rPr>
          <w:sz w:val="20"/>
        </w:rPr>
        <w:t xml:space="preserve">] </w:t>
      </w:r>
      <w:r w:rsidR="00B72BFA">
        <w:rPr>
          <w:sz w:val="20"/>
        </w:rPr>
        <w:t>that</w:t>
      </w:r>
      <w:r w:rsidR="00621148">
        <w:rPr>
          <w:sz w:val="20"/>
        </w:rPr>
        <w:t xml:space="preserve"> in order </w:t>
      </w:r>
      <w:r w:rsidR="00B9161C">
        <w:rPr>
          <w:sz w:val="20"/>
        </w:rPr>
        <w:t xml:space="preserve">to understand this complexity, we </w:t>
      </w:r>
      <w:r w:rsidR="00621148">
        <w:rPr>
          <w:sz w:val="20"/>
        </w:rPr>
        <w:t xml:space="preserve">should look beyond </w:t>
      </w:r>
      <w:proofErr w:type="spellStart"/>
      <w:r w:rsidR="00B9161C" w:rsidRPr="00243542">
        <w:rPr>
          <w:sz w:val="20"/>
        </w:rPr>
        <w:t>NiO</w:t>
      </w:r>
      <w:proofErr w:type="spellEnd"/>
      <w:r w:rsidR="00B9161C" w:rsidRPr="00243542">
        <w:rPr>
          <w:sz w:val="20"/>
        </w:rPr>
        <w:t xml:space="preserve"> acting as a</w:t>
      </w:r>
      <w:r w:rsidR="00B72BFA">
        <w:rPr>
          <w:sz w:val="20"/>
        </w:rPr>
        <w:t xml:space="preserve"> simple</w:t>
      </w:r>
      <w:r w:rsidR="00B9161C" w:rsidRPr="00243542">
        <w:rPr>
          <w:sz w:val="20"/>
        </w:rPr>
        <w:t xml:space="preserve"> oxide compound, </w:t>
      </w:r>
      <w:r w:rsidR="00621148">
        <w:rPr>
          <w:sz w:val="20"/>
        </w:rPr>
        <w:t>and instead</w:t>
      </w:r>
      <w:r w:rsidR="00B9161C" w:rsidRPr="00243542">
        <w:rPr>
          <w:sz w:val="20"/>
        </w:rPr>
        <w:t xml:space="preserve"> </w:t>
      </w:r>
      <w:r w:rsidR="00B72BFA">
        <w:rPr>
          <w:sz w:val="20"/>
        </w:rPr>
        <w:t xml:space="preserve">consider </w:t>
      </w:r>
      <w:r w:rsidR="00B9161C" w:rsidRPr="00243542">
        <w:rPr>
          <w:sz w:val="20"/>
        </w:rPr>
        <w:t xml:space="preserve">the </w:t>
      </w:r>
      <w:proofErr w:type="spellStart"/>
      <w:r w:rsidR="00B9161C" w:rsidRPr="00243542">
        <w:rPr>
          <w:sz w:val="20"/>
        </w:rPr>
        <w:t>Ni</w:t>
      </w:r>
      <w:r w:rsidR="00B9161C" w:rsidRPr="00243542">
        <w:rPr>
          <w:sz w:val="20"/>
          <w:vertAlign w:val="superscript"/>
        </w:rPr>
        <w:t>+2</w:t>
      </w:r>
      <w:proofErr w:type="spellEnd"/>
      <w:r w:rsidR="00B9161C" w:rsidRPr="00243542">
        <w:rPr>
          <w:sz w:val="20"/>
        </w:rPr>
        <w:t xml:space="preserve"> </w:t>
      </w:r>
      <w:proofErr w:type="spellStart"/>
      <w:r w:rsidR="00B9161C" w:rsidRPr="00243542">
        <w:rPr>
          <w:sz w:val="20"/>
        </w:rPr>
        <w:t>cation</w:t>
      </w:r>
      <w:proofErr w:type="spellEnd"/>
      <w:r w:rsidR="00B9161C" w:rsidRPr="00243542">
        <w:rPr>
          <w:sz w:val="20"/>
        </w:rPr>
        <w:t xml:space="preserve"> and the O</w:t>
      </w:r>
      <w:r w:rsidR="00B9161C" w:rsidRPr="00243542">
        <w:rPr>
          <w:sz w:val="20"/>
          <w:vertAlign w:val="superscript"/>
        </w:rPr>
        <w:t>-2</w:t>
      </w:r>
      <w:r w:rsidR="00B9161C" w:rsidRPr="00243542">
        <w:rPr>
          <w:sz w:val="20"/>
        </w:rPr>
        <w:t xml:space="preserve"> ion acting separately within the melt</w:t>
      </w:r>
      <w:r w:rsidR="00B9161C">
        <w:rPr>
          <w:sz w:val="20"/>
        </w:rPr>
        <w:t xml:space="preserve">.  The activity of </w:t>
      </w:r>
      <w:proofErr w:type="spellStart"/>
      <w:r w:rsidR="00B9161C">
        <w:rPr>
          <w:sz w:val="20"/>
        </w:rPr>
        <w:t>NiO</w:t>
      </w:r>
      <w:proofErr w:type="spellEnd"/>
      <w:r w:rsidR="00B9161C">
        <w:rPr>
          <w:sz w:val="20"/>
        </w:rPr>
        <w:t xml:space="preserve"> can be related </w:t>
      </w:r>
      <w:r w:rsidR="00B72BFA">
        <w:rPr>
          <w:sz w:val="20"/>
        </w:rPr>
        <w:t xml:space="preserve">to </w:t>
      </w:r>
      <w:proofErr w:type="spellStart"/>
      <w:r w:rsidR="00B72BFA">
        <w:rPr>
          <w:sz w:val="20"/>
        </w:rPr>
        <w:t>activites</w:t>
      </w:r>
      <w:proofErr w:type="spellEnd"/>
      <w:r w:rsidR="00B72BFA">
        <w:rPr>
          <w:sz w:val="20"/>
        </w:rPr>
        <w:t xml:space="preserve"> of the ionic species </w:t>
      </w:r>
      <w:r w:rsidR="00B9161C">
        <w:rPr>
          <w:sz w:val="20"/>
        </w:rPr>
        <w:t xml:space="preserve">through a reaction of the sort </w:t>
      </w:r>
      <w:proofErr w:type="spellStart"/>
      <w:r w:rsidR="00B9161C">
        <w:rPr>
          <w:sz w:val="20"/>
        </w:rPr>
        <w:t>NiO</w:t>
      </w:r>
      <w:proofErr w:type="spellEnd"/>
      <w:r w:rsidR="00B9161C">
        <w:rPr>
          <w:sz w:val="20"/>
        </w:rPr>
        <w:t xml:space="preserve"> </w:t>
      </w:r>
      <w:r w:rsidR="00B9161C">
        <w:rPr>
          <w:rFonts w:ascii="Calibri" w:hAnsi="Calibri"/>
          <w:sz w:val="20"/>
        </w:rPr>
        <w:t>↔</w:t>
      </w:r>
      <w:r w:rsidR="00B9161C">
        <w:rPr>
          <w:sz w:val="20"/>
        </w:rPr>
        <w:t xml:space="preserve"> </w:t>
      </w:r>
      <w:proofErr w:type="spellStart"/>
      <w:r w:rsidR="00B9161C">
        <w:rPr>
          <w:sz w:val="20"/>
        </w:rPr>
        <w:t>Ni</w:t>
      </w:r>
      <w:r w:rsidR="00B9161C" w:rsidRPr="00B9161C">
        <w:rPr>
          <w:sz w:val="20"/>
          <w:vertAlign w:val="superscript"/>
        </w:rPr>
        <w:t>2</w:t>
      </w:r>
      <w:proofErr w:type="spellEnd"/>
      <w:r w:rsidR="00B9161C" w:rsidRPr="00B9161C">
        <w:rPr>
          <w:sz w:val="20"/>
          <w:vertAlign w:val="superscript"/>
        </w:rPr>
        <w:t>+</w:t>
      </w:r>
      <w:r w:rsidR="00B9161C">
        <w:rPr>
          <w:sz w:val="20"/>
        </w:rPr>
        <w:t xml:space="preserve"> + O</w:t>
      </w:r>
      <w:r w:rsidR="00B9161C" w:rsidRPr="00B9161C">
        <w:rPr>
          <w:sz w:val="20"/>
          <w:vertAlign w:val="superscript"/>
        </w:rPr>
        <w:t>2-</w:t>
      </w:r>
      <w:r w:rsidR="00B9161C">
        <w:rPr>
          <w:sz w:val="20"/>
        </w:rPr>
        <w:t xml:space="preserve">. </w:t>
      </w:r>
    </w:p>
    <w:p w:rsidR="00326B4C" w:rsidRDefault="00B9161C" w:rsidP="006775BC">
      <w:pPr>
        <w:spacing w:line="240" w:lineRule="atLeast"/>
        <w:ind w:firstLine="288"/>
        <w:jc w:val="both"/>
        <w:rPr>
          <w:sz w:val="20"/>
        </w:rPr>
      </w:pPr>
      <w:r>
        <w:rPr>
          <w:sz w:val="20"/>
        </w:rPr>
        <w:t xml:space="preserve">We have proposed </w:t>
      </w:r>
      <w:r w:rsidR="001B7018">
        <w:rPr>
          <w:sz w:val="20"/>
        </w:rPr>
        <w:t xml:space="preserve">[2] </w:t>
      </w:r>
      <w:r>
        <w:rPr>
          <w:sz w:val="20"/>
        </w:rPr>
        <w:t xml:space="preserve">that a near-ideal mixing model can be derived </w:t>
      </w:r>
      <w:r w:rsidR="00B72BFA">
        <w:rPr>
          <w:sz w:val="20"/>
        </w:rPr>
        <w:t>for</w:t>
      </w:r>
      <w:r w:rsidR="00326B4C">
        <w:rPr>
          <w:sz w:val="20"/>
        </w:rPr>
        <w:t xml:space="preserve"> Ni</w:t>
      </w:r>
      <w:r w:rsidR="00326B4C" w:rsidRPr="00326B4C">
        <w:rPr>
          <w:sz w:val="20"/>
          <w:vertAlign w:val="superscript"/>
        </w:rPr>
        <w:t>2+</w:t>
      </w:r>
      <w:r w:rsidR="00326B4C">
        <w:rPr>
          <w:sz w:val="20"/>
        </w:rPr>
        <w:t xml:space="preserve"> </w:t>
      </w:r>
      <w:r w:rsidR="00621148">
        <w:rPr>
          <w:sz w:val="20"/>
        </w:rPr>
        <w:t xml:space="preserve">in silicate melts, </w:t>
      </w:r>
      <w:r w:rsidR="00B72BFA">
        <w:rPr>
          <w:sz w:val="20"/>
        </w:rPr>
        <w:t>where the Ni</w:t>
      </w:r>
      <w:r w:rsidR="00B72BFA" w:rsidRPr="00326B4C">
        <w:rPr>
          <w:sz w:val="20"/>
          <w:vertAlign w:val="superscript"/>
        </w:rPr>
        <w:t>2+</w:t>
      </w:r>
      <w:r w:rsidR="00B72BFA">
        <w:rPr>
          <w:sz w:val="20"/>
        </w:rPr>
        <w:t xml:space="preserve"> </w:t>
      </w:r>
      <w:r w:rsidR="00326B4C">
        <w:rPr>
          <w:sz w:val="20"/>
        </w:rPr>
        <w:t xml:space="preserve">mixes with a </w:t>
      </w:r>
      <w:r w:rsidR="00326B4C" w:rsidRPr="00243542">
        <w:rPr>
          <w:sz w:val="20"/>
        </w:rPr>
        <w:t xml:space="preserve">‘mixing pool’ of  </w:t>
      </w:r>
      <w:proofErr w:type="spellStart"/>
      <w:r w:rsidR="00326B4C" w:rsidRPr="00243542">
        <w:rPr>
          <w:sz w:val="20"/>
        </w:rPr>
        <w:t>cations</w:t>
      </w:r>
      <w:proofErr w:type="spellEnd"/>
      <w:r w:rsidR="00326B4C" w:rsidRPr="00243542">
        <w:rPr>
          <w:sz w:val="20"/>
        </w:rPr>
        <w:t xml:space="preserve"> </w:t>
      </w:r>
      <w:r w:rsidR="00326B4C">
        <w:rPr>
          <w:sz w:val="20"/>
        </w:rPr>
        <w:t xml:space="preserve">of similar size and charge to </w:t>
      </w:r>
      <w:r w:rsidR="00326B4C" w:rsidRPr="00243542">
        <w:rPr>
          <w:sz w:val="20"/>
        </w:rPr>
        <w:t>Ni</w:t>
      </w:r>
      <w:r w:rsidR="00326B4C" w:rsidRPr="00243542">
        <w:rPr>
          <w:sz w:val="20"/>
          <w:vertAlign w:val="superscript"/>
        </w:rPr>
        <w:t>+2</w:t>
      </w:r>
      <w:r w:rsidR="00B72BFA">
        <w:rPr>
          <w:sz w:val="20"/>
        </w:rPr>
        <w:t>.  T</w:t>
      </w:r>
      <w:r w:rsidR="00326B4C">
        <w:rPr>
          <w:sz w:val="20"/>
        </w:rPr>
        <w:t xml:space="preserve">he proportion of a </w:t>
      </w:r>
      <w:proofErr w:type="spellStart"/>
      <w:r w:rsidR="00326B4C">
        <w:rPr>
          <w:sz w:val="20"/>
        </w:rPr>
        <w:t>cation</w:t>
      </w:r>
      <w:proofErr w:type="spellEnd"/>
      <w:r w:rsidR="00326B4C">
        <w:rPr>
          <w:sz w:val="20"/>
        </w:rPr>
        <w:t xml:space="preserve"> </w:t>
      </w:r>
      <w:r w:rsidR="00326B4C">
        <w:rPr>
          <w:sz w:val="20"/>
        </w:rPr>
        <w:lastRenderedPageBreak/>
        <w:t>that participates in the mixing pool is</w:t>
      </w:r>
      <w:r w:rsidR="00621148">
        <w:rPr>
          <w:sz w:val="20"/>
        </w:rPr>
        <w:t xml:space="preserve"> inversely </w:t>
      </w:r>
      <w:r w:rsidR="00326B4C">
        <w:rPr>
          <w:sz w:val="20"/>
        </w:rPr>
        <w:t xml:space="preserve">proportional </w:t>
      </w:r>
      <w:r w:rsidR="00621148">
        <w:rPr>
          <w:sz w:val="20"/>
        </w:rPr>
        <w:t xml:space="preserve">the difference in </w:t>
      </w:r>
      <w:proofErr w:type="spellStart"/>
      <w:r w:rsidR="00621148">
        <w:rPr>
          <w:sz w:val="20"/>
        </w:rPr>
        <w:t>cation</w:t>
      </w:r>
      <w:proofErr w:type="spellEnd"/>
      <w:r w:rsidR="00621148">
        <w:rPr>
          <w:sz w:val="20"/>
        </w:rPr>
        <w:t xml:space="preserve"> size between the </w:t>
      </w:r>
      <w:proofErr w:type="spellStart"/>
      <w:r w:rsidR="00621148">
        <w:rPr>
          <w:sz w:val="20"/>
        </w:rPr>
        <w:t>cation</w:t>
      </w:r>
      <w:proofErr w:type="spellEnd"/>
      <w:r w:rsidR="00621148">
        <w:rPr>
          <w:sz w:val="20"/>
        </w:rPr>
        <w:t xml:space="preserve"> of interest and Ni</w:t>
      </w:r>
      <w:r w:rsidR="00621148" w:rsidRPr="00621148">
        <w:rPr>
          <w:sz w:val="20"/>
          <w:vertAlign w:val="superscript"/>
        </w:rPr>
        <w:t>2+</w:t>
      </w:r>
      <w:r w:rsidR="00621148">
        <w:rPr>
          <w:sz w:val="20"/>
        </w:rPr>
        <w:t xml:space="preserve">. </w:t>
      </w:r>
      <w:r w:rsidR="00326B4C">
        <w:rPr>
          <w:sz w:val="20"/>
        </w:rPr>
        <w:t>The activity for Ni</w:t>
      </w:r>
      <w:r w:rsidR="00326B4C" w:rsidRPr="00326B4C">
        <w:rPr>
          <w:sz w:val="20"/>
          <w:vertAlign w:val="superscript"/>
        </w:rPr>
        <w:t>2+</w:t>
      </w:r>
      <w:r w:rsidR="00326B4C">
        <w:rPr>
          <w:sz w:val="20"/>
        </w:rPr>
        <w:t xml:space="preserve"> then takes on the form of aNi</w:t>
      </w:r>
      <w:r w:rsidR="00326B4C" w:rsidRPr="00326B4C">
        <w:rPr>
          <w:sz w:val="20"/>
          <w:vertAlign w:val="superscript"/>
        </w:rPr>
        <w:t>2+</w:t>
      </w:r>
      <w:r w:rsidR="00326B4C">
        <w:rPr>
          <w:sz w:val="20"/>
        </w:rPr>
        <w:t xml:space="preserve"> </w:t>
      </w:r>
      <w:proofErr w:type="gramStart"/>
      <w:r w:rsidR="00326B4C">
        <w:rPr>
          <w:sz w:val="20"/>
        </w:rPr>
        <w:t>=  XNi</w:t>
      </w:r>
      <w:r w:rsidR="00326B4C" w:rsidRPr="00326B4C">
        <w:rPr>
          <w:sz w:val="20"/>
          <w:vertAlign w:val="superscript"/>
        </w:rPr>
        <w:t>2</w:t>
      </w:r>
      <w:proofErr w:type="gramEnd"/>
      <w:r w:rsidR="00326B4C" w:rsidRPr="00326B4C">
        <w:rPr>
          <w:sz w:val="20"/>
          <w:vertAlign w:val="superscript"/>
        </w:rPr>
        <w:t>+</w:t>
      </w:r>
      <w:r w:rsidR="00326B4C">
        <w:rPr>
          <w:sz w:val="20"/>
        </w:rPr>
        <w:t xml:space="preserve">/Mixing Pool. </w:t>
      </w:r>
    </w:p>
    <w:p w:rsidR="006775BC" w:rsidRDefault="006775BC" w:rsidP="006775BC">
      <w:pPr>
        <w:spacing w:line="240" w:lineRule="atLeast"/>
        <w:ind w:firstLine="288"/>
        <w:jc w:val="both"/>
        <w:rPr>
          <w:sz w:val="20"/>
        </w:rPr>
      </w:pPr>
      <w:r w:rsidRPr="00B9161C">
        <w:rPr>
          <w:noProof/>
        </w:rPr>
        <w:drawing>
          <wp:inline distT="0" distB="0" distL="0" distR="0" wp14:anchorId="2B5F395C" wp14:editId="7F283FFB">
            <wp:extent cx="2786380" cy="1628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305"/>
                    <a:stretch/>
                  </pic:blipFill>
                  <pic:spPr bwMode="auto">
                    <a:xfrm>
                      <a:off x="0" y="0"/>
                      <a:ext cx="2812635" cy="1643956"/>
                    </a:xfrm>
                    <a:prstGeom prst="rect">
                      <a:avLst/>
                    </a:prstGeom>
                    <a:noFill/>
                    <a:ln>
                      <a:noFill/>
                    </a:ln>
                    <a:extLst>
                      <a:ext uri="{53640926-AAD7-44D8-BBD7-CCE9431645EC}">
                        <a14:shadowObscured xmlns:a14="http://schemas.microsoft.com/office/drawing/2010/main"/>
                      </a:ext>
                    </a:extLst>
                  </pic:spPr>
                </pic:pic>
              </a:graphicData>
            </a:graphic>
          </wp:inline>
        </w:drawing>
      </w:r>
      <w:r w:rsidRPr="006775BC">
        <w:rPr>
          <w:sz w:val="20"/>
        </w:rPr>
        <w:t xml:space="preserve"> </w:t>
      </w:r>
      <w:r>
        <w:rPr>
          <w:sz w:val="20"/>
        </w:rPr>
        <w:t xml:space="preserve">Fig. 1.  </w:t>
      </w:r>
      <w:proofErr w:type="spellStart"/>
      <w:r>
        <w:rPr>
          <w:sz w:val="20"/>
        </w:rPr>
        <w:t>NiO</w:t>
      </w:r>
      <w:proofErr w:type="spellEnd"/>
      <w:r>
        <w:rPr>
          <w:sz w:val="20"/>
        </w:rPr>
        <w:t xml:space="preserve"> activity coefficients relative to a standard state of liquid </w:t>
      </w:r>
      <w:proofErr w:type="spellStart"/>
      <w:r>
        <w:rPr>
          <w:sz w:val="20"/>
        </w:rPr>
        <w:t>NiO</w:t>
      </w:r>
      <w:proofErr w:type="spellEnd"/>
      <w:r>
        <w:rPr>
          <w:sz w:val="20"/>
        </w:rPr>
        <w:t>.  Squares are from the present study.  Diamonds are from [1,2,3,4,6,7,8,9,10,11,12].</w:t>
      </w:r>
    </w:p>
    <w:p w:rsidR="006775BC" w:rsidRDefault="006775BC" w:rsidP="006775BC">
      <w:pPr>
        <w:spacing w:line="120" w:lineRule="exact"/>
        <w:ind w:firstLine="288"/>
        <w:jc w:val="both"/>
        <w:rPr>
          <w:sz w:val="20"/>
        </w:rPr>
      </w:pPr>
    </w:p>
    <w:p w:rsidR="00326B4C" w:rsidRPr="00243542" w:rsidRDefault="00621148" w:rsidP="00326B4C">
      <w:pPr>
        <w:spacing w:line="240" w:lineRule="atLeast"/>
        <w:ind w:firstLine="288"/>
        <w:jc w:val="both"/>
        <w:rPr>
          <w:sz w:val="20"/>
        </w:rPr>
      </w:pPr>
      <w:r>
        <w:rPr>
          <w:sz w:val="20"/>
        </w:rPr>
        <w:t xml:space="preserve">We </w:t>
      </w:r>
      <w:r w:rsidR="0080430E">
        <w:rPr>
          <w:sz w:val="20"/>
        </w:rPr>
        <w:t xml:space="preserve">also </w:t>
      </w:r>
      <w:r>
        <w:rPr>
          <w:sz w:val="20"/>
        </w:rPr>
        <w:t>proposed that t</w:t>
      </w:r>
      <w:r w:rsidR="00326B4C" w:rsidRPr="00243542">
        <w:rPr>
          <w:sz w:val="20"/>
        </w:rPr>
        <w:t>he O</w:t>
      </w:r>
      <w:r w:rsidR="00326B4C" w:rsidRPr="00243542">
        <w:rPr>
          <w:sz w:val="20"/>
          <w:vertAlign w:val="superscript"/>
        </w:rPr>
        <w:t>-2</w:t>
      </w:r>
      <w:r w:rsidR="00326B4C" w:rsidRPr="00243542">
        <w:rPr>
          <w:sz w:val="20"/>
        </w:rPr>
        <w:t xml:space="preserve"> oxide ion activity can be modeled assuming that the oxide ion </w:t>
      </w:r>
      <w:r w:rsidR="00326B4C">
        <w:rPr>
          <w:sz w:val="20"/>
        </w:rPr>
        <w:t>is</w:t>
      </w:r>
      <w:r w:rsidR="00326B4C" w:rsidRPr="00243542">
        <w:rPr>
          <w:sz w:val="20"/>
        </w:rPr>
        <w:t xml:space="preserve"> buffered by bridging </w:t>
      </w:r>
      <w:proofErr w:type="spellStart"/>
      <w:r w:rsidR="00326B4C" w:rsidRPr="00243542">
        <w:rPr>
          <w:sz w:val="20"/>
        </w:rPr>
        <w:t>oxygens</w:t>
      </w:r>
      <w:proofErr w:type="spellEnd"/>
      <w:r w:rsidR="00326B4C" w:rsidRPr="00243542">
        <w:rPr>
          <w:sz w:val="20"/>
        </w:rPr>
        <w:t xml:space="preserve"> and non-bridging </w:t>
      </w:r>
      <w:proofErr w:type="spellStart"/>
      <w:r w:rsidR="00326B4C" w:rsidRPr="00243542">
        <w:rPr>
          <w:sz w:val="20"/>
        </w:rPr>
        <w:t>oxygens</w:t>
      </w:r>
      <w:proofErr w:type="spellEnd"/>
      <w:r w:rsidR="00326B4C" w:rsidRPr="00243542">
        <w:rPr>
          <w:sz w:val="20"/>
        </w:rPr>
        <w:t xml:space="preserve"> (BO and NBO respectively)</w:t>
      </w:r>
      <w:r w:rsidR="00B72BFA">
        <w:rPr>
          <w:sz w:val="20"/>
        </w:rPr>
        <w:t xml:space="preserve"> according to the following reaction</w:t>
      </w:r>
      <w:r w:rsidR="00326B4C" w:rsidRPr="00243542">
        <w:rPr>
          <w:sz w:val="20"/>
        </w:rPr>
        <w:t xml:space="preserve">. </w:t>
      </w:r>
    </w:p>
    <w:p w:rsidR="00326B4C" w:rsidRDefault="00326B4C" w:rsidP="00326B4C">
      <w:pPr>
        <w:spacing w:line="240" w:lineRule="atLeast"/>
        <w:ind w:firstLine="288"/>
        <w:jc w:val="both"/>
        <w:rPr>
          <w:sz w:val="20"/>
        </w:rPr>
      </w:pPr>
      <w:r w:rsidRPr="00243542">
        <w:rPr>
          <w:sz w:val="20"/>
        </w:rPr>
        <w:t>Si-O-Si + O</w:t>
      </w:r>
      <w:r w:rsidRPr="00243542">
        <w:rPr>
          <w:sz w:val="20"/>
          <w:vertAlign w:val="superscript"/>
        </w:rPr>
        <w:t>-2</w:t>
      </w:r>
      <w:r w:rsidRPr="00243542">
        <w:rPr>
          <w:sz w:val="20"/>
        </w:rPr>
        <w:t xml:space="preserve"> </w:t>
      </w:r>
      <w:r w:rsidRPr="00243542">
        <w:rPr>
          <w:sz w:val="20"/>
        </w:rPr>
        <w:sym w:font="Wingdings" w:char="F0E0"/>
      </w:r>
      <w:r w:rsidRPr="00243542">
        <w:rPr>
          <w:sz w:val="20"/>
        </w:rPr>
        <w:t xml:space="preserve"> 2Si-O</w:t>
      </w:r>
    </w:p>
    <w:p w:rsidR="00621148" w:rsidRPr="00243542" w:rsidRDefault="00621148" w:rsidP="00326B4C">
      <w:pPr>
        <w:spacing w:line="240" w:lineRule="atLeast"/>
        <w:ind w:firstLine="288"/>
        <w:jc w:val="both"/>
        <w:rPr>
          <w:sz w:val="20"/>
        </w:rPr>
      </w:pPr>
      <w:proofErr w:type="gramStart"/>
      <w:r>
        <w:rPr>
          <w:sz w:val="20"/>
        </w:rPr>
        <w:t>or</w:t>
      </w:r>
      <w:proofErr w:type="gramEnd"/>
    </w:p>
    <w:p w:rsidR="00326B4C" w:rsidRPr="00243542" w:rsidRDefault="00326B4C" w:rsidP="00326B4C">
      <w:pPr>
        <w:spacing w:line="240" w:lineRule="atLeast"/>
        <w:ind w:firstLine="288"/>
        <w:jc w:val="both"/>
        <w:rPr>
          <w:sz w:val="20"/>
        </w:rPr>
      </w:pPr>
      <w:r w:rsidRPr="00243542">
        <w:rPr>
          <w:sz w:val="20"/>
        </w:rPr>
        <w:t xml:space="preserve">  (BO)</w:t>
      </w:r>
      <w:r w:rsidR="00621148">
        <w:rPr>
          <w:sz w:val="20"/>
        </w:rPr>
        <w:t xml:space="preserve"> </w:t>
      </w:r>
      <w:r w:rsidR="00621148" w:rsidRPr="00243542">
        <w:rPr>
          <w:sz w:val="20"/>
        </w:rPr>
        <w:t>+ O</w:t>
      </w:r>
      <w:r w:rsidR="00621148" w:rsidRPr="00243542">
        <w:rPr>
          <w:sz w:val="20"/>
          <w:vertAlign w:val="superscript"/>
        </w:rPr>
        <w:t>-2</w:t>
      </w:r>
      <w:r w:rsidR="00621148" w:rsidRPr="00243542">
        <w:rPr>
          <w:sz w:val="20"/>
        </w:rPr>
        <w:t xml:space="preserve"> </w:t>
      </w:r>
      <w:r w:rsidR="00621148" w:rsidRPr="00243542">
        <w:rPr>
          <w:sz w:val="20"/>
        </w:rPr>
        <w:sym w:font="Wingdings" w:char="F0E0"/>
      </w:r>
      <w:r w:rsidR="00621148" w:rsidRPr="00243542">
        <w:rPr>
          <w:sz w:val="20"/>
        </w:rPr>
        <w:t xml:space="preserve"> 2</w:t>
      </w:r>
      <w:r w:rsidRPr="00243542">
        <w:rPr>
          <w:sz w:val="20"/>
        </w:rPr>
        <w:t>(NBO)</w:t>
      </w:r>
    </w:p>
    <w:p w:rsidR="005032B0" w:rsidRDefault="00B72BFA" w:rsidP="005032B0">
      <w:pPr>
        <w:spacing w:line="240" w:lineRule="atLeast"/>
        <w:jc w:val="both"/>
        <w:rPr>
          <w:sz w:val="20"/>
        </w:rPr>
      </w:pPr>
      <w:r>
        <w:rPr>
          <w:sz w:val="20"/>
        </w:rPr>
        <w:t>From this we can derive the activity of the oxide ion as the following:</w:t>
      </w:r>
      <w:r w:rsidR="00264BB7">
        <w:rPr>
          <w:sz w:val="20"/>
        </w:rPr>
        <w:t xml:space="preserve"> aO</w:t>
      </w:r>
      <w:r w:rsidR="00264BB7" w:rsidRPr="00621148">
        <w:rPr>
          <w:sz w:val="20"/>
          <w:vertAlign w:val="superscript"/>
        </w:rPr>
        <w:t>2-</w:t>
      </w:r>
      <w:r w:rsidR="00264BB7">
        <w:rPr>
          <w:sz w:val="20"/>
        </w:rPr>
        <w:t xml:space="preserve"> = </w:t>
      </w:r>
      <w:proofErr w:type="gramStart"/>
      <w:r w:rsidR="00264BB7">
        <w:rPr>
          <w:sz w:val="20"/>
        </w:rPr>
        <w:t>K(</w:t>
      </w:r>
      <w:proofErr w:type="gramEnd"/>
      <w:r w:rsidR="00264BB7">
        <w:rPr>
          <w:sz w:val="20"/>
        </w:rPr>
        <w:t>NBO</w:t>
      </w:r>
      <w:r w:rsidR="00264BB7" w:rsidRPr="00264BB7">
        <w:rPr>
          <w:sz w:val="20"/>
          <w:vertAlign w:val="superscript"/>
        </w:rPr>
        <w:t>2</w:t>
      </w:r>
      <w:r w:rsidR="00264BB7">
        <w:rPr>
          <w:sz w:val="20"/>
        </w:rPr>
        <w:t>/BO)</w:t>
      </w:r>
      <w:r w:rsidR="005032B0">
        <w:rPr>
          <w:sz w:val="20"/>
        </w:rPr>
        <w:t xml:space="preserve">  [</w:t>
      </w:r>
      <w:r w:rsidR="001B7018">
        <w:rPr>
          <w:sz w:val="20"/>
        </w:rPr>
        <w:t>2</w:t>
      </w:r>
      <w:r w:rsidR="005032B0">
        <w:rPr>
          <w:sz w:val="20"/>
        </w:rPr>
        <w:t>]</w:t>
      </w:r>
    </w:p>
    <w:p w:rsidR="00326B4C" w:rsidRPr="00243542" w:rsidRDefault="00326B4C" w:rsidP="005032B0">
      <w:pPr>
        <w:spacing w:line="240" w:lineRule="atLeast"/>
        <w:ind w:firstLine="288"/>
        <w:jc w:val="both"/>
        <w:rPr>
          <w:sz w:val="20"/>
        </w:rPr>
      </w:pPr>
      <w:r>
        <w:rPr>
          <w:sz w:val="20"/>
        </w:rPr>
        <w:t xml:space="preserve">Figure 2 shows the residuals </w:t>
      </w:r>
      <w:r w:rsidR="001B7018">
        <w:rPr>
          <w:sz w:val="20"/>
        </w:rPr>
        <w:t>for</w:t>
      </w:r>
      <w:r>
        <w:rPr>
          <w:sz w:val="20"/>
        </w:rPr>
        <w:t xml:space="preserve"> this type of modeling for </w:t>
      </w:r>
      <w:r w:rsidR="00621148">
        <w:rPr>
          <w:sz w:val="20"/>
        </w:rPr>
        <w:t xml:space="preserve">activity data from a number of workers.  Residuals of the model are assigned </w:t>
      </w:r>
      <w:r>
        <w:rPr>
          <w:sz w:val="20"/>
        </w:rPr>
        <w:t>to error in the modeling of the oxide ion</w:t>
      </w:r>
      <w:r w:rsidR="00621148">
        <w:rPr>
          <w:sz w:val="20"/>
        </w:rPr>
        <w:t xml:space="preserve"> through the expression:  </w:t>
      </w:r>
      <w:r w:rsidR="0080430E">
        <w:rPr>
          <w:sz w:val="20"/>
        </w:rPr>
        <w:t>0.7159*</w:t>
      </w:r>
      <w:proofErr w:type="spellStart"/>
      <w:r w:rsidR="0080430E">
        <w:rPr>
          <w:sz w:val="20"/>
        </w:rPr>
        <w:t>NBO</w:t>
      </w:r>
      <w:r w:rsidR="0080430E" w:rsidRPr="0080430E">
        <w:rPr>
          <w:sz w:val="20"/>
          <w:vertAlign w:val="superscript"/>
        </w:rPr>
        <w:t>2</w:t>
      </w:r>
      <w:proofErr w:type="spellEnd"/>
      <w:r w:rsidR="0080430E">
        <w:rPr>
          <w:sz w:val="20"/>
        </w:rPr>
        <w:t xml:space="preserve">/BO – </w:t>
      </w:r>
      <w:proofErr w:type="spellStart"/>
      <w:r w:rsidR="0080430E">
        <w:rPr>
          <w:sz w:val="20"/>
        </w:rPr>
        <w:t>γNiO</w:t>
      </w:r>
      <w:proofErr w:type="spellEnd"/>
      <w:proofErr w:type="gramStart"/>
      <w:r w:rsidR="0080430E">
        <w:rPr>
          <w:sz w:val="20"/>
        </w:rPr>
        <w:t>/(</w:t>
      </w:r>
      <w:proofErr w:type="gramEnd"/>
      <w:r w:rsidR="0080430E">
        <w:rPr>
          <w:sz w:val="20"/>
        </w:rPr>
        <w:t xml:space="preserve">modeled </w:t>
      </w:r>
      <w:proofErr w:type="spellStart"/>
      <w:r w:rsidR="0080430E">
        <w:rPr>
          <w:sz w:val="20"/>
        </w:rPr>
        <w:t>Ni</w:t>
      </w:r>
      <w:r w:rsidR="0080430E" w:rsidRPr="0080430E">
        <w:rPr>
          <w:sz w:val="20"/>
          <w:vertAlign w:val="superscript"/>
        </w:rPr>
        <w:t>2</w:t>
      </w:r>
      <w:proofErr w:type="spellEnd"/>
      <w:r w:rsidR="0080430E" w:rsidRPr="0080430E">
        <w:rPr>
          <w:sz w:val="20"/>
          <w:vertAlign w:val="superscript"/>
        </w:rPr>
        <w:t>+</w:t>
      </w:r>
      <w:r w:rsidR="0080430E">
        <w:rPr>
          <w:sz w:val="20"/>
        </w:rPr>
        <w:t xml:space="preserve">).  </w:t>
      </w:r>
      <w:r w:rsidR="001B7018">
        <w:rPr>
          <w:sz w:val="20"/>
        </w:rPr>
        <w:t xml:space="preserve">Conceptually, this expression is the difference between the activity for the oxide ion modeled from the expression above and a value for the oxide ion activity based on measured values for </w:t>
      </w:r>
      <w:proofErr w:type="spellStart"/>
      <w:r w:rsidR="001B7018">
        <w:rPr>
          <w:sz w:val="20"/>
        </w:rPr>
        <w:t>NiO</w:t>
      </w:r>
      <w:proofErr w:type="spellEnd"/>
      <w:r w:rsidR="001B7018">
        <w:rPr>
          <w:sz w:val="20"/>
        </w:rPr>
        <w:t xml:space="preserve"> activity and the</w:t>
      </w:r>
      <w:r w:rsidR="006775BC">
        <w:rPr>
          <w:sz w:val="20"/>
        </w:rPr>
        <w:t xml:space="preserve"> modeled</w:t>
      </w:r>
      <w:r w:rsidR="001B7018">
        <w:rPr>
          <w:sz w:val="20"/>
        </w:rPr>
        <w:t xml:space="preserve"> </w:t>
      </w:r>
      <w:r w:rsidR="0080430E">
        <w:rPr>
          <w:sz w:val="20"/>
        </w:rPr>
        <w:t>Ni</w:t>
      </w:r>
      <w:r w:rsidR="0080430E" w:rsidRPr="00042237">
        <w:rPr>
          <w:sz w:val="20"/>
          <w:vertAlign w:val="superscript"/>
        </w:rPr>
        <w:t>2+</w:t>
      </w:r>
      <w:r w:rsidR="0080430E">
        <w:rPr>
          <w:sz w:val="20"/>
        </w:rPr>
        <w:t xml:space="preserve"> activity</w:t>
      </w:r>
      <w:r w:rsidR="001B7018">
        <w:rPr>
          <w:sz w:val="20"/>
        </w:rPr>
        <w:t>.  This yields</w:t>
      </w:r>
      <w:r w:rsidR="0080430E">
        <w:rPr>
          <w:sz w:val="20"/>
        </w:rPr>
        <w:t xml:space="preserve"> a deviation of the modeled oxide ion activity from </w:t>
      </w:r>
      <w:r w:rsidR="001B7018">
        <w:rPr>
          <w:sz w:val="20"/>
        </w:rPr>
        <w:t>values based on actual measurements</w:t>
      </w:r>
      <w:r w:rsidR="0080430E">
        <w:rPr>
          <w:sz w:val="20"/>
        </w:rPr>
        <w:t>.</w:t>
      </w:r>
    </w:p>
    <w:p w:rsidR="00264BB7" w:rsidRDefault="00264BB7" w:rsidP="005032B0">
      <w:pPr>
        <w:spacing w:line="240" w:lineRule="atLeast"/>
        <w:ind w:firstLine="288"/>
        <w:jc w:val="both"/>
        <w:rPr>
          <w:sz w:val="20"/>
        </w:rPr>
      </w:pPr>
      <w:r>
        <w:rPr>
          <w:sz w:val="20"/>
        </w:rPr>
        <w:t>The sharp decrease in scatter in the data relative to Figure 1 shows the overall success of this approach</w:t>
      </w:r>
      <w:r w:rsidR="0080430E">
        <w:rPr>
          <w:sz w:val="20"/>
        </w:rPr>
        <w:t xml:space="preserve"> in understanding the complex variations in </w:t>
      </w:r>
      <w:proofErr w:type="spellStart"/>
      <w:r w:rsidR="0080430E">
        <w:rPr>
          <w:sz w:val="20"/>
        </w:rPr>
        <w:t>NiO</w:t>
      </w:r>
      <w:proofErr w:type="spellEnd"/>
      <w:r w:rsidR="0080430E">
        <w:rPr>
          <w:sz w:val="20"/>
        </w:rPr>
        <w:t xml:space="preserve"> activity with composition</w:t>
      </w:r>
      <w:r>
        <w:rPr>
          <w:sz w:val="20"/>
        </w:rPr>
        <w:t>, but the residuals deviate sharply from zero as the melt becomes increasingly depolymerized</w:t>
      </w:r>
      <w:r w:rsidR="000910BD">
        <w:rPr>
          <w:sz w:val="20"/>
        </w:rPr>
        <w:t>—meaning that our model for the activity of the oxide ion appears to become increasingly wrong</w:t>
      </w:r>
      <w:r w:rsidR="00514760">
        <w:rPr>
          <w:sz w:val="20"/>
        </w:rPr>
        <w:t xml:space="preserve"> for less polymerized melts</w:t>
      </w:r>
      <w:r>
        <w:rPr>
          <w:sz w:val="20"/>
        </w:rPr>
        <w:t xml:space="preserve">.  </w:t>
      </w:r>
      <w:r w:rsidR="007D10FC">
        <w:rPr>
          <w:sz w:val="20"/>
        </w:rPr>
        <w:t xml:space="preserve">We might expect </w:t>
      </w:r>
      <w:r w:rsidR="0080430E">
        <w:rPr>
          <w:sz w:val="20"/>
        </w:rPr>
        <w:t xml:space="preserve">that bridging </w:t>
      </w:r>
      <w:proofErr w:type="spellStart"/>
      <w:r w:rsidR="0080430E">
        <w:rPr>
          <w:sz w:val="20"/>
        </w:rPr>
        <w:t>oxygens</w:t>
      </w:r>
      <w:proofErr w:type="spellEnd"/>
      <w:r w:rsidR="0080430E">
        <w:rPr>
          <w:sz w:val="20"/>
        </w:rPr>
        <w:t xml:space="preserve"> can only buffer the oxide ion under conditions where t</w:t>
      </w:r>
      <w:r w:rsidR="007D10FC">
        <w:rPr>
          <w:sz w:val="20"/>
        </w:rPr>
        <w:t xml:space="preserve">he concentration of bridging </w:t>
      </w:r>
      <w:proofErr w:type="spellStart"/>
      <w:r w:rsidR="007D10FC">
        <w:rPr>
          <w:sz w:val="20"/>
        </w:rPr>
        <w:t>oxygens</w:t>
      </w:r>
      <w:proofErr w:type="spellEnd"/>
      <w:r w:rsidR="007D10FC">
        <w:rPr>
          <w:sz w:val="20"/>
        </w:rPr>
        <w:t xml:space="preserve"> is large compared to the oxide ion, true </w:t>
      </w:r>
      <w:r w:rsidR="00342356">
        <w:rPr>
          <w:sz w:val="20"/>
        </w:rPr>
        <w:t xml:space="preserve">only </w:t>
      </w:r>
      <w:r w:rsidR="007D10FC">
        <w:rPr>
          <w:sz w:val="20"/>
        </w:rPr>
        <w:t xml:space="preserve">in highly-polymerized melts.  Also, </w:t>
      </w:r>
      <w:r w:rsidR="006775BC">
        <w:rPr>
          <w:sz w:val="20"/>
        </w:rPr>
        <w:t xml:space="preserve">we know that </w:t>
      </w:r>
      <w:r>
        <w:rPr>
          <w:sz w:val="20"/>
        </w:rPr>
        <w:t>the expression for the oxide ion activity above must fail</w:t>
      </w:r>
      <w:r w:rsidR="007D10FC">
        <w:rPr>
          <w:sz w:val="20"/>
        </w:rPr>
        <w:t xml:space="preserve"> at low BO</w:t>
      </w:r>
      <w:r>
        <w:rPr>
          <w:sz w:val="20"/>
        </w:rPr>
        <w:t>, since the model predicts that the activity</w:t>
      </w:r>
      <w:r w:rsidR="00326B4C" w:rsidRPr="00243542">
        <w:rPr>
          <w:sz w:val="20"/>
        </w:rPr>
        <w:t xml:space="preserve"> of </w:t>
      </w:r>
      <w:r w:rsidR="00326B4C" w:rsidRPr="00243542">
        <w:rPr>
          <w:sz w:val="20"/>
        </w:rPr>
        <w:lastRenderedPageBreak/>
        <w:t>oxide ion goes to infinity</w:t>
      </w:r>
      <w:r w:rsidR="005032B0">
        <w:rPr>
          <w:sz w:val="20"/>
        </w:rPr>
        <w:t xml:space="preserve"> as BO goes to 0, an unrealistic </w:t>
      </w:r>
      <w:r w:rsidR="00FB77FF">
        <w:rPr>
          <w:sz w:val="20"/>
        </w:rPr>
        <w:t>result</w:t>
      </w:r>
      <w:r w:rsidR="007D10FC">
        <w:rPr>
          <w:sz w:val="20"/>
        </w:rPr>
        <w:t>.</w:t>
      </w:r>
      <w:r w:rsidR="00342356">
        <w:rPr>
          <w:sz w:val="20"/>
        </w:rPr>
        <w:t xml:space="preserve">  Thus, the deviation seen in Fig. 2 is not unreasonable.</w:t>
      </w:r>
    </w:p>
    <w:p w:rsidR="0080430E" w:rsidRDefault="0080430E" w:rsidP="0080430E">
      <w:pPr>
        <w:spacing w:line="240" w:lineRule="atLeast"/>
        <w:jc w:val="both"/>
        <w:rPr>
          <w:sz w:val="20"/>
        </w:rPr>
      </w:pPr>
      <w:r w:rsidRPr="00264BB7">
        <w:rPr>
          <w:noProof/>
        </w:rPr>
        <w:drawing>
          <wp:inline distT="0" distB="0" distL="0" distR="0">
            <wp:extent cx="2819400" cy="1610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9400" cy="1610995"/>
                    </a:xfrm>
                    <a:prstGeom prst="rect">
                      <a:avLst/>
                    </a:prstGeom>
                    <a:noFill/>
                    <a:ln>
                      <a:noFill/>
                    </a:ln>
                  </pic:spPr>
                </pic:pic>
              </a:graphicData>
            </a:graphic>
          </wp:inline>
        </w:drawing>
      </w:r>
      <w:r w:rsidRPr="0080430E">
        <w:rPr>
          <w:sz w:val="20"/>
        </w:rPr>
        <w:t xml:space="preserve"> </w:t>
      </w:r>
    </w:p>
    <w:p w:rsidR="0080430E" w:rsidRDefault="0080430E" w:rsidP="0080430E">
      <w:pPr>
        <w:spacing w:line="240" w:lineRule="atLeast"/>
        <w:jc w:val="both"/>
        <w:rPr>
          <w:sz w:val="20"/>
        </w:rPr>
      </w:pPr>
      <w:r>
        <w:rPr>
          <w:sz w:val="20"/>
        </w:rPr>
        <w:t>Figure 2.  Data sources as in Fig 1.  Ratios show ratio NBO</w:t>
      </w:r>
      <w:proofErr w:type="gramStart"/>
      <w:r>
        <w:rPr>
          <w:sz w:val="20"/>
        </w:rPr>
        <w:t>:BO</w:t>
      </w:r>
      <w:proofErr w:type="gramEnd"/>
      <w:r>
        <w:rPr>
          <w:sz w:val="20"/>
        </w:rPr>
        <w:t>, with NBO calculated as (2*total O)-4*(SiO</w:t>
      </w:r>
      <w:r w:rsidRPr="00264BB7">
        <w:rPr>
          <w:sz w:val="20"/>
          <w:vertAlign w:val="subscript"/>
        </w:rPr>
        <w:t>2</w:t>
      </w:r>
      <w:r>
        <w:rPr>
          <w:sz w:val="20"/>
        </w:rPr>
        <w:t xml:space="preserve"> + TiO</w:t>
      </w:r>
      <w:r w:rsidRPr="00264BB7">
        <w:rPr>
          <w:sz w:val="20"/>
          <w:vertAlign w:val="subscript"/>
        </w:rPr>
        <w:t>2</w:t>
      </w:r>
      <w:r>
        <w:rPr>
          <w:sz w:val="20"/>
        </w:rPr>
        <w:t>+0.5*AlO</w:t>
      </w:r>
      <w:r w:rsidRPr="00264BB7">
        <w:rPr>
          <w:sz w:val="20"/>
          <w:vertAlign w:val="subscript"/>
        </w:rPr>
        <w:t>1.5</w:t>
      </w:r>
      <w:r>
        <w:rPr>
          <w:sz w:val="20"/>
        </w:rPr>
        <w:t xml:space="preserve">)/(total O), and BO = 1-NBO.  </w:t>
      </w:r>
    </w:p>
    <w:p w:rsidR="0080430E" w:rsidRDefault="0080430E" w:rsidP="006775BC">
      <w:pPr>
        <w:spacing w:line="120" w:lineRule="exact"/>
        <w:ind w:firstLine="288"/>
        <w:jc w:val="both"/>
        <w:rPr>
          <w:sz w:val="20"/>
        </w:rPr>
      </w:pPr>
    </w:p>
    <w:p w:rsidR="007631F0" w:rsidRDefault="007631F0">
      <w:pPr>
        <w:spacing w:line="240" w:lineRule="atLeast"/>
        <w:ind w:firstLine="288"/>
        <w:jc w:val="both"/>
        <w:rPr>
          <w:sz w:val="20"/>
        </w:rPr>
      </w:pPr>
      <w:r>
        <w:rPr>
          <w:sz w:val="20"/>
        </w:rPr>
        <w:t xml:space="preserve">The </w:t>
      </w:r>
      <w:proofErr w:type="gramStart"/>
      <w:r>
        <w:rPr>
          <w:sz w:val="20"/>
        </w:rPr>
        <w:t>activity  of</w:t>
      </w:r>
      <w:proofErr w:type="gramEnd"/>
      <w:r>
        <w:rPr>
          <w:sz w:val="20"/>
        </w:rPr>
        <w:t xml:space="preserve"> the oxide ion begins to deviate from the model equation at values for SiO</w:t>
      </w:r>
      <w:r w:rsidRPr="00A26516">
        <w:rPr>
          <w:sz w:val="20"/>
          <w:vertAlign w:val="subscript"/>
        </w:rPr>
        <w:t>2</w:t>
      </w:r>
      <w:r>
        <w:rPr>
          <w:sz w:val="20"/>
        </w:rPr>
        <w:t>+TiO</w:t>
      </w:r>
      <w:r w:rsidRPr="00A26516">
        <w:rPr>
          <w:sz w:val="20"/>
          <w:vertAlign w:val="subscript"/>
        </w:rPr>
        <w:t>2</w:t>
      </w:r>
      <w:r>
        <w:rPr>
          <w:sz w:val="20"/>
        </w:rPr>
        <w:t>+0.5*AlO</w:t>
      </w:r>
      <w:r w:rsidRPr="00A26516">
        <w:rPr>
          <w:sz w:val="20"/>
          <w:vertAlign w:val="subscript"/>
        </w:rPr>
        <w:t>1.5</w:t>
      </w:r>
      <w:r>
        <w:rPr>
          <w:sz w:val="20"/>
        </w:rPr>
        <w:t xml:space="preserve"> les</w:t>
      </w:r>
      <w:r w:rsidR="00160F12">
        <w:rPr>
          <w:sz w:val="20"/>
        </w:rPr>
        <w:t>s</w:t>
      </w:r>
      <w:r>
        <w:rPr>
          <w:sz w:val="20"/>
        </w:rPr>
        <w:t xml:space="preserve"> than about 0.6, corresponding to a NBO/BO ratio of about 1:1.  </w:t>
      </w:r>
      <w:r w:rsidR="00A26516">
        <w:rPr>
          <w:sz w:val="20"/>
        </w:rPr>
        <w:t>Additional</w:t>
      </w:r>
      <w:r>
        <w:rPr>
          <w:sz w:val="20"/>
        </w:rPr>
        <w:t xml:space="preserve"> sharp deviations occur at NBO/BO ratios of 2:1 and 3:1.  The correlation between </w:t>
      </w:r>
      <w:r w:rsidR="00A26516">
        <w:rPr>
          <w:sz w:val="20"/>
        </w:rPr>
        <w:t>where</w:t>
      </w:r>
      <w:r>
        <w:rPr>
          <w:sz w:val="20"/>
        </w:rPr>
        <w:t xml:space="preserve"> these deviations </w:t>
      </w:r>
      <w:r w:rsidR="00A26516">
        <w:rPr>
          <w:sz w:val="20"/>
        </w:rPr>
        <w:t xml:space="preserve">occur </w:t>
      </w:r>
      <w:proofErr w:type="gramStart"/>
      <w:r w:rsidR="00A26516">
        <w:rPr>
          <w:sz w:val="20"/>
        </w:rPr>
        <w:t xml:space="preserve">and </w:t>
      </w:r>
      <w:r>
        <w:rPr>
          <w:sz w:val="20"/>
        </w:rPr>
        <w:t xml:space="preserve"> stoichiometric</w:t>
      </w:r>
      <w:proofErr w:type="gramEnd"/>
      <w:r>
        <w:rPr>
          <w:sz w:val="20"/>
        </w:rPr>
        <w:t xml:space="preserve"> parameters for NBO/BO suggests the possibility that we can better understand variations in the oxide ion activity, and from that variations in activities for a wide range of trace element oxides, by considering that the buffering reactions controlling the oxide ion in the melt change with degree of polymerization.</w:t>
      </w:r>
    </w:p>
    <w:p w:rsidR="006D07AE" w:rsidRDefault="006D07AE">
      <w:pPr>
        <w:spacing w:line="240" w:lineRule="atLeast"/>
        <w:ind w:firstLine="288"/>
        <w:jc w:val="both"/>
        <w:rPr>
          <w:sz w:val="20"/>
        </w:rPr>
      </w:pPr>
      <w:r>
        <w:rPr>
          <w:b/>
          <w:sz w:val="20"/>
        </w:rPr>
        <w:t>Conclusions:</w:t>
      </w:r>
      <w:r>
        <w:rPr>
          <w:sz w:val="20"/>
        </w:rPr>
        <w:t xml:space="preserve">  Modeling activity for </w:t>
      </w:r>
      <w:proofErr w:type="spellStart"/>
      <w:r>
        <w:rPr>
          <w:sz w:val="20"/>
        </w:rPr>
        <w:t>NiO</w:t>
      </w:r>
      <w:proofErr w:type="spellEnd"/>
      <w:r>
        <w:rPr>
          <w:sz w:val="20"/>
        </w:rPr>
        <w:t xml:space="preserve"> by considering separate variations in activities for Ni</w:t>
      </w:r>
      <w:r w:rsidRPr="00342356">
        <w:rPr>
          <w:sz w:val="20"/>
          <w:vertAlign w:val="superscript"/>
        </w:rPr>
        <w:t>2+</w:t>
      </w:r>
      <w:r>
        <w:rPr>
          <w:sz w:val="20"/>
        </w:rPr>
        <w:t xml:space="preserve"> and O</w:t>
      </w:r>
      <w:r w:rsidRPr="00342356">
        <w:rPr>
          <w:sz w:val="20"/>
          <w:vertAlign w:val="superscript"/>
        </w:rPr>
        <w:t>2-</w:t>
      </w:r>
      <w:r>
        <w:rPr>
          <w:sz w:val="20"/>
        </w:rPr>
        <w:t xml:space="preserve"> works well, but only if the variation</w:t>
      </w:r>
      <w:r w:rsidR="0080430E">
        <w:rPr>
          <w:sz w:val="20"/>
        </w:rPr>
        <w:t>s</w:t>
      </w:r>
      <w:r>
        <w:rPr>
          <w:sz w:val="20"/>
        </w:rPr>
        <w:t xml:space="preserve"> in activity of the oxide ion are modeled differently in regions of the melt defined by stoichiometric ratios of NBO/BO.   This is consistent with </w:t>
      </w:r>
      <w:r w:rsidR="002B39F9">
        <w:rPr>
          <w:sz w:val="20"/>
        </w:rPr>
        <w:t xml:space="preserve">the idea that </w:t>
      </w:r>
      <w:r>
        <w:rPr>
          <w:sz w:val="20"/>
        </w:rPr>
        <w:t xml:space="preserve">fundamental reactions in the melt </w:t>
      </w:r>
      <w:r w:rsidR="002B39F9">
        <w:rPr>
          <w:sz w:val="20"/>
        </w:rPr>
        <w:t xml:space="preserve">that </w:t>
      </w:r>
      <w:r>
        <w:rPr>
          <w:sz w:val="20"/>
        </w:rPr>
        <w:t>buffer the oxide ion chang</w:t>
      </w:r>
      <w:r w:rsidR="002B39F9">
        <w:rPr>
          <w:sz w:val="20"/>
        </w:rPr>
        <w:t>e</w:t>
      </w:r>
      <w:r>
        <w:rPr>
          <w:sz w:val="20"/>
        </w:rPr>
        <w:t xml:space="preserve"> as melt polymerization changes.   Other trace oxides might be modeled in a similar fashion, with the same variation in the oxide ion applyin</w:t>
      </w:r>
      <w:r w:rsidR="002B39F9">
        <w:rPr>
          <w:sz w:val="20"/>
        </w:rPr>
        <w:t>g to those components as well.</w:t>
      </w:r>
    </w:p>
    <w:p w:rsidR="006775BC" w:rsidRPr="006775BC" w:rsidRDefault="006D07AE" w:rsidP="006775BC">
      <w:pPr>
        <w:spacing w:line="240" w:lineRule="atLeast"/>
        <w:ind w:firstLine="288"/>
        <w:jc w:val="both"/>
        <w:rPr>
          <w:color w:val="000000" w:themeColor="text1"/>
          <w:szCs w:val="18"/>
        </w:rPr>
      </w:pPr>
      <w:r w:rsidRPr="006775BC">
        <w:rPr>
          <w:b/>
          <w:szCs w:val="18"/>
        </w:rPr>
        <w:t>References:</w:t>
      </w:r>
      <w:r w:rsidRPr="006775BC">
        <w:rPr>
          <w:szCs w:val="18"/>
        </w:rPr>
        <w:t xml:space="preserve"> [1</w:t>
      </w:r>
      <w:r w:rsidRPr="006775BC">
        <w:rPr>
          <w:color w:val="000000" w:themeColor="text1"/>
          <w:szCs w:val="18"/>
        </w:rPr>
        <w:t>] </w:t>
      </w:r>
      <w:r w:rsidR="00E53772" w:rsidRPr="006775BC">
        <w:rPr>
          <w:color w:val="000000" w:themeColor="text1"/>
          <w:szCs w:val="18"/>
        </w:rPr>
        <w:t xml:space="preserve">Colson R. O., et al (1995) GCA 59, 909-925 [2] Colson R. O. et al (2005) GCA 69, 3061-3073 </w:t>
      </w:r>
      <w:r w:rsidR="007C2486" w:rsidRPr="006775BC">
        <w:rPr>
          <w:color w:val="000000" w:themeColor="text1"/>
          <w:szCs w:val="18"/>
        </w:rPr>
        <w:t xml:space="preserve">[3] </w:t>
      </w:r>
      <w:proofErr w:type="spellStart"/>
      <w:r w:rsidR="007C2486" w:rsidRPr="006775BC">
        <w:rPr>
          <w:color w:val="000000" w:themeColor="text1"/>
          <w:szCs w:val="18"/>
        </w:rPr>
        <w:t>Holzheid</w:t>
      </w:r>
      <w:proofErr w:type="spellEnd"/>
      <w:r w:rsidR="007C2486" w:rsidRPr="006775BC">
        <w:rPr>
          <w:color w:val="000000" w:themeColor="text1"/>
          <w:szCs w:val="18"/>
        </w:rPr>
        <w:t xml:space="preserve"> A. et al (1997) Chem. Geol. 139, 21-38 [4] O’Neill H St. C., and </w:t>
      </w:r>
      <w:proofErr w:type="spellStart"/>
      <w:r w:rsidR="007C2486" w:rsidRPr="006775BC">
        <w:rPr>
          <w:color w:val="000000" w:themeColor="text1"/>
          <w:szCs w:val="18"/>
        </w:rPr>
        <w:t>Eggins</w:t>
      </w:r>
      <w:proofErr w:type="spellEnd"/>
      <w:r w:rsidR="007C2486" w:rsidRPr="006775BC">
        <w:rPr>
          <w:color w:val="000000" w:themeColor="text1"/>
          <w:szCs w:val="18"/>
        </w:rPr>
        <w:t xml:space="preserve"> S M (2002) Chem. Geol. 186, 151-181 </w:t>
      </w:r>
      <w:r w:rsidR="00B470A7" w:rsidRPr="006775BC">
        <w:rPr>
          <w:color w:val="000000" w:themeColor="text1"/>
          <w:szCs w:val="18"/>
        </w:rPr>
        <w:t xml:space="preserve">[5] </w:t>
      </w:r>
      <w:proofErr w:type="spellStart"/>
      <w:r w:rsidR="00B470A7" w:rsidRPr="006775BC">
        <w:rPr>
          <w:color w:val="000000" w:themeColor="text1"/>
          <w:szCs w:val="18"/>
        </w:rPr>
        <w:t>Capobianco</w:t>
      </w:r>
      <w:proofErr w:type="spellEnd"/>
      <w:r w:rsidR="00B470A7" w:rsidRPr="006775BC">
        <w:rPr>
          <w:color w:val="000000" w:themeColor="text1"/>
          <w:szCs w:val="18"/>
        </w:rPr>
        <w:t xml:space="preserve"> C J and </w:t>
      </w:r>
      <w:proofErr w:type="spellStart"/>
      <w:r w:rsidR="00B470A7" w:rsidRPr="006775BC">
        <w:rPr>
          <w:color w:val="000000" w:themeColor="text1"/>
          <w:szCs w:val="18"/>
        </w:rPr>
        <w:t>Amelin</w:t>
      </w:r>
      <w:proofErr w:type="spellEnd"/>
      <w:r w:rsidR="00B470A7" w:rsidRPr="006775BC">
        <w:rPr>
          <w:color w:val="000000" w:themeColor="text1"/>
          <w:szCs w:val="18"/>
        </w:rPr>
        <w:t xml:space="preserve"> A </w:t>
      </w:r>
      <w:proofErr w:type="spellStart"/>
      <w:r w:rsidR="00B470A7" w:rsidRPr="006775BC">
        <w:rPr>
          <w:color w:val="000000" w:themeColor="text1"/>
          <w:szCs w:val="18"/>
        </w:rPr>
        <w:t>A</w:t>
      </w:r>
      <w:proofErr w:type="spellEnd"/>
      <w:r w:rsidR="00B470A7" w:rsidRPr="006775BC">
        <w:rPr>
          <w:color w:val="000000" w:themeColor="text1"/>
          <w:szCs w:val="18"/>
        </w:rPr>
        <w:t xml:space="preserve"> (1994) GCA 58, 125-140 [6]</w:t>
      </w:r>
      <w:r w:rsidR="006775BC" w:rsidRPr="006775BC">
        <w:rPr>
          <w:color w:val="000000" w:themeColor="text1"/>
          <w:szCs w:val="18"/>
        </w:rPr>
        <w:t xml:space="preserve"> Campbell I H and </w:t>
      </w:r>
      <w:proofErr w:type="spellStart"/>
      <w:r w:rsidR="006775BC" w:rsidRPr="006775BC">
        <w:rPr>
          <w:color w:val="000000" w:themeColor="text1"/>
          <w:szCs w:val="18"/>
        </w:rPr>
        <w:t>Naldrett</w:t>
      </w:r>
      <w:proofErr w:type="spellEnd"/>
      <w:r w:rsidR="006775BC" w:rsidRPr="006775BC">
        <w:rPr>
          <w:color w:val="000000" w:themeColor="text1"/>
          <w:szCs w:val="18"/>
        </w:rPr>
        <w:t xml:space="preserve"> A J (1979)  Can. Mineral. 17, 495-505 [7] Doyle C D and </w:t>
      </w:r>
      <w:proofErr w:type="spellStart"/>
      <w:r w:rsidR="006775BC" w:rsidRPr="006775BC">
        <w:rPr>
          <w:color w:val="000000" w:themeColor="text1"/>
          <w:szCs w:val="18"/>
        </w:rPr>
        <w:t>Naldrett</w:t>
      </w:r>
      <w:proofErr w:type="spellEnd"/>
      <w:r w:rsidR="006775BC" w:rsidRPr="006775BC">
        <w:rPr>
          <w:color w:val="000000" w:themeColor="text1"/>
          <w:szCs w:val="18"/>
        </w:rPr>
        <w:t xml:space="preserve"> A J (1987) GCA 51, 213-219 [8] </w:t>
      </w:r>
      <w:proofErr w:type="spellStart"/>
      <w:r w:rsidR="006775BC" w:rsidRPr="006775BC">
        <w:rPr>
          <w:color w:val="000000" w:themeColor="text1"/>
          <w:szCs w:val="18"/>
        </w:rPr>
        <w:t>Ertel</w:t>
      </w:r>
      <w:proofErr w:type="spellEnd"/>
      <w:r w:rsidR="006775BC" w:rsidRPr="006775BC">
        <w:rPr>
          <w:color w:val="000000" w:themeColor="text1"/>
          <w:szCs w:val="18"/>
        </w:rPr>
        <w:t xml:space="preserve"> W et al (1997)  GCA 61, 4707-4721 [9] Pretorius E B and </w:t>
      </w:r>
      <w:proofErr w:type="spellStart"/>
      <w:r w:rsidR="006775BC" w:rsidRPr="006775BC">
        <w:rPr>
          <w:color w:val="000000" w:themeColor="text1"/>
          <w:szCs w:val="18"/>
        </w:rPr>
        <w:t>Muan</w:t>
      </w:r>
      <w:proofErr w:type="spellEnd"/>
      <w:r w:rsidR="006775BC" w:rsidRPr="006775BC">
        <w:rPr>
          <w:color w:val="000000" w:themeColor="text1"/>
          <w:szCs w:val="18"/>
        </w:rPr>
        <w:t xml:space="preserve"> A (1992) J Am Ceramic </w:t>
      </w:r>
      <w:proofErr w:type="spellStart"/>
      <w:r w:rsidR="006775BC" w:rsidRPr="006775BC">
        <w:rPr>
          <w:color w:val="000000" w:themeColor="text1"/>
          <w:szCs w:val="18"/>
        </w:rPr>
        <w:t>Soc</w:t>
      </w:r>
      <w:proofErr w:type="spellEnd"/>
      <w:r w:rsidR="006775BC" w:rsidRPr="006775BC">
        <w:rPr>
          <w:color w:val="000000" w:themeColor="text1"/>
          <w:szCs w:val="18"/>
        </w:rPr>
        <w:t xml:space="preserve"> 75, 1490-1496 [10] </w:t>
      </w:r>
      <w:proofErr w:type="spellStart"/>
      <w:r w:rsidR="006775BC" w:rsidRPr="006775BC">
        <w:rPr>
          <w:color w:val="000000" w:themeColor="text1"/>
          <w:szCs w:val="18"/>
        </w:rPr>
        <w:t>Semkow</w:t>
      </w:r>
      <w:proofErr w:type="spellEnd"/>
      <w:r w:rsidR="006775BC" w:rsidRPr="006775BC">
        <w:rPr>
          <w:color w:val="000000" w:themeColor="text1"/>
          <w:szCs w:val="18"/>
        </w:rPr>
        <w:t xml:space="preserve"> K W and Haskin L A (1985) GCA 49, 1897-1908 [11] Snyder D A, and Carmichael I S E (1992) GCA, 56, 303-318</w:t>
      </w:r>
      <w:r w:rsidR="007E7BA6">
        <w:rPr>
          <w:color w:val="000000" w:themeColor="text1"/>
          <w:szCs w:val="18"/>
        </w:rPr>
        <w:t>.</w:t>
      </w:r>
    </w:p>
    <w:sectPr w:rsidR="006775BC" w:rsidRPr="006775BC" w:rsidSect="00B86B62">
      <w:type w:val="continuous"/>
      <w:pgSz w:w="12240" w:h="15840"/>
      <w:pgMar w:top="1440" w:right="1440" w:bottom="1440" w:left="1440" w:header="720" w:footer="720" w:gutter="0"/>
      <w:cols w:num="2" w:space="4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5BB" w:rsidRDefault="00CD75BB">
      <w:r>
        <w:separator/>
      </w:r>
    </w:p>
  </w:endnote>
  <w:endnote w:type="continuationSeparator" w:id="0">
    <w:p w:rsidR="00CD75BB" w:rsidRDefault="00CD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1C2" w:rsidRDefault="00AA71C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42" w:rsidRDefault="002435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42" w:rsidRDefault="00243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5BB" w:rsidRDefault="00CD75BB">
      <w:r>
        <w:separator/>
      </w:r>
    </w:p>
  </w:footnote>
  <w:footnote w:type="continuationSeparator" w:id="0">
    <w:p w:rsidR="00CD75BB" w:rsidRDefault="00CD7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1C2" w:rsidRDefault="00AA71C2">
    <w:pPr>
      <w:pStyle w:val="Header"/>
      <w:jc w:val="center"/>
    </w:pPr>
    <w:r>
      <w:t>SHORT TITLE HERE:  A. B. Author and C. D. Author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42" w:rsidRDefault="002435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542" w:rsidRDefault="002435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3260C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E683736"/>
    <w:multiLevelType w:val="hybridMultilevel"/>
    <w:tmpl w:val="F9B2B3AC"/>
    <w:lvl w:ilvl="0" w:tplc="9D0C7E12">
      <w:numFmt w:val="bullet"/>
      <w:lvlText w:val="-"/>
      <w:lvlJc w:val="left"/>
      <w:pPr>
        <w:ind w:left="728" w:hanging="440"/>
      </w:pPr>
      <w:rPr>
        <w:rFonts w:ascii="Times New Roman" w:eastAsia="Times New Roman" w:hAnsi="Times New Roman" w:cs="Times New Roman" w:hint="default"/>
      </w:rPr>
    </w:lvl>
    <w:lvl w:ilvl="1" w:tplc="04090003">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3"/>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AB7"/>
    <w:rsid w:val="0000144B"/>
    <w:rsid w:val="00042237"/>
    <w:rsid w:val="000773C3"/>
    <w:rsid w:val="000910BD"/>
    <w:rsid w:val="000D1584"/>
    <w:rsid w:val="000E4F2F"/>
    <w:rsid w:val="000E7DE0"/>
    <w:rsid w:val="001444F3"/>
    <w:rsid w:val="00157930"/>
    <w:rsid w:val="00160F12"/>
    <w:rsid w:val="001B7018"/>
    <w:rsid w:val="001D16F9"/>
    <w:rsid w:val="001D213C"/>
    <w:rsid w:val="001F7982"/>
    <w:rsid w:val="00220009"/>
    <w:rsid w:val="00243542"/>
    <w:rsid w:val="00264BB7"/>
    <w:rsid w:val="00270F5C"/>
    <w:rsid w:val="002B0114"/>
    <w:rsid w:val="002B39F9"/>
    <w:rsid w:val="002B5071"/>
    <w:rsid w:val="002E3583"/>
    <w:rsid w:val="00301D81"/>
    <w:rsid w:val="00326B4C"/>
    <w:rsid w:val="003403BE"/>
    <w:rsid w:val="00342356"/>
    <w:rsid w:val="00344825"/>
    <w:rsid w:val="00384D93"/>
    <w:rsid w:val="0039030E"/>
    <w:rsid w:val="003C206A"/>
    <w:rsid w:val="003C43EE"/>
    <w:rsid w:val="003C6DEF"/>
    <w:rsid w:val="003D1FD1"/>
    <w:rsid w:val="003E06B7"/>
    <w:rsid w:val="004174FF"/>
    <w:rsid w:val="00450757"/>
    <w:rsid w:val="004A54EF"/>
    <w:rsid w:val="005032B0"/>
    <w:rsid w:val="00514760"/>
    <w:rsid w:val="00541643"/>
    <w:rsid w:val="00585A59"/>
    <w:rsid w:val="00591ADF"/>
    <w:rsid w:val="005D12FB"/>
    <w:rsid w:val="005E5804"/>
    <w:rsid w:val="00614909"/>
    <w:rsid w:val="00621148"/>
    <w:rsid w:val="00641A17"/>
    <w:rsid w:val="00644836"/>
    <w:rsid w:val="00661A37"/>
    <w:rsid w:val="00672E93"/>
    <w:rsid w:val="006775BC"/>
    <w:rsid w:val="00693817"/>
    <w:rsid w:val="00694048"/>
    <w:rsid w:val="006A1266"/>
    <w:rsid w:val="006A128D"/>
    <w:rsid w:val="006B3026"/>
    <w:rsid w:val="006C4B4A"/>
    <w:rsid w:val="006D07AE"/>
    <w:rsid w:val="0070028D"/>
    <w:rsid w:val="00717454"/>
    <w:rsid w:val="00724D9C"/>
    <w:rsid w:val="00746742"/>
    <w:rsid w:val="007631F0"/>
    <w:rsid w:val="007833BB"/>
    <w:rsid w:val="007C2486"/>
    <w:rsid w:val="007D10FC"/>
    <w:rsid w:val="007E7BA6"/>
    <w:rsid w:val="0080430E"/>
    <w:rsid w:val="00813CDC"/>
    <w:rsid w:val="00832D82"/>
    <w:rsid w:val="00873538"/>
    <w:rsid w:val="00890C72"/>
    <w:rsid w:val="0089286A"/>
    <w:rsid w:val="0089357F"/>
    <w:rsid w:val="00925AC6"/>
    <w:rsid w:val="009677D7"/>
    <w:rsid w:val="00A064F5"/>
    <w:rsid w:val="00A208D7"/>
    <w:rsid w:val="00A26516"/>
    <w:rsid w:val="00A70989"/>
    <w:rsid w:val="00A732A5"/>
    <w:rsid w:val="00A76ACF"/>
    <w:rsid w:val="00AA042E"/>
    <w:rsid w:val="00AA078A"/>
    <w:rsid w:val="00AA71C2"/>
    <w:rsid w:val="00AB37C1"/>
    <w:rsid w:val="00AB567D"/>
    <w:rsid w:val="00AC783C"/>
    <w:rsid w:val="00AE0D36"/>
    <w:rsid w:val="00B45FB2"/>
    <w:rsid w:val="00B470A7"/>
    <w:rsid w:val="00B66B7E"/>
    <w:rsid w:val="00B702B2"/>
    <w:rsid w:val="00B72BFA"/>
    <w:rsid w:val="00B75EB7"/>
    <w:rsid w:val="00B8124C"/>
    <w:rsid w:val="00B86B62"/>
    <w:rsid w:val="00B9161C"/>
    <w:rsid w:val="00BE0391"/>
    <w:rsid w:val="00C20A6B"/>
    <w:rsid w:val="00C711EB"/>
    <w:rsid w:val="00C84AB7"/>
    <w:rsid w:val="00CB1A8B"/>
    <w:rsid w:val="00CB6EA9"/>
    <w:rsid w:val="00CC6B90"/>
    <w:rsid w:val="00CD75BB"/>
    <w:rsid w:val="00CF0601"/>
    <w:rsid w:val="00D12AFD"/>
    <w:rsid w:val="00D23F7C"/>
    <w:rsid w:val="00D253BF"/>
    <w:rsid w:val="00D64252"/>
    <w:rsid w:val="00D9274C"/>
    <w:rsid w:val="00DB3273"/>
    <w:rsid w:val="00DC722D"/>
    <w:rsid w:val="00DE0C69"/>
    <w:rsid w:val="00E3629C"/>
    <w:rsid w:val="00E53772"/>
    <w:rsid w:val="00EC33CF"/>
    <w:rsid w:val="00F07D21"/>
    <w:rsid w:val="00F12EEB"/>
    <w:rsid w:val="00F15A0C"/>
    <w:rsid w:val="00F726C7"/>
    <w:rsid w:val="00F734D8"/>
    <w:rsid w:val="00FA53D6"/>
    <w:rsid w:val="00FB77FF"/>
    <w:rsid w:val="00FC3D77"/>
    <w:rsid w:val="00FC416B"/>
    <w:rsid w:val="00FC4D67"/>
    <w:rsid w:val="00FC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18389D-BAA9-49FD-8E05-AF288FC0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B62"/>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86B62"/>
    <w:pPr>
      <w:tabs>
        <w:tab w:val="center" w:pos="4320"/>
        <w:tab w:val="right" w:pos="8640"/>
      </w:tabs>
    </w:pPr>
  </w:style>
  <w:style w:type="paragraph" w:styleId="Header">
    <w:name w:val="header"/>
    <w:basedOn w:val="Normal"/>
    <w:rsid w:val="00B86B62"/>
    <w:pPr>
      <w:tabs>
        <w:tab w:val="center" w:pos="4320"/>
        <w:tab w:val="right" w:pos="8640"/>
      </w:tabs>
    </w:pPr>
  </w:style>
  <w:style w:type="paragraph" w:styleId="BalloonText">
    <w:name w:val="Balloon Text"/>
    <w:basedOn w:val="Normal"/>
    <w:link w:val="BalloonTextChar"/>
    <w:rsid w:val="00F726C7"/>
    <w:rPr>
      <w:rFonts w:ascii="Tahoma" w:hAnsi="Tahoma" w:cs="Tahoma"/>
      <w:sz w:val="16"/>
      <w:szCs w:val="16"/>
    </w:rPr>
  </w:style>
  <w:style w:type="character" w:customStyle="1" w:styleId="BalloonTextChar">
    <w:name w:val="Balloon Text Char"/>
    <w:link w:val="BalloonText"/>
    <w:rsid w:val="00F726C7"/>
    <w:rPr>
      <w:rFonts w:ascii="Tahoma" w:hAnsi="Tahoma" w:cs="Tahoma"/>
      <w:sz w:val="16"/>
      <w:szCs w:val="16"/>
    </w:rPr>
  </w:style>
  <w:style w:type="table" w:styleId="TableGrid">
    <w:name w:val="Table Grid"/>
    <w:basedOn w:val="TableNormal"/>
    <w:rsid w:val="00F73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F734D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character" w:styleId="PlaceholderText">
    <w:name w:val="Placeholder Text"/>
    <w:basedOn w:val="DefaultParagraphFont"/>
    <w:uiPriority w:val="67"/>
    <w:rsid w:val="00D642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06610">
      <w:bodyDiv w:val="1"/>
      <w:marLeft w:val="0"/>
      <w:marRight w:val="0"/>
      <w:marTop w:val="0"/>
      <w:marBottom w:val="0"/>
      <w:divBdr>
        <w:top w:val="none" w:sz="0" w:space="0" w:color="auto"/>
        <w:left w:val="none" w:sz="0" w:space="0" w:color="auto"/>
        <w:bottom w:val="none" w:sz="0" w:space="0" w:color="auto"/>
        <w:right w:val="none" w:sz="0" w:space="0" w:color="auto"/>
      </w:divBdr>
    </w:div>
    <w:div w:id="1094788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9F1FF-B911-40D1-BA37-A7572C60B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template for two-page abstracts in Word 97 (PC)</vt:lpstr>
    </vt:vector>
  </TitlesOfParts>
  <Company>CASS</Company>
  <LinksUpToDate>false</LinksUpToDate>
  <CharactersWithSpaces>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two-page abstracts in Word 97 (PC)</dc:title>
  <dc:creator>LPI</dc:creator>
  <cp:lastModifiedBy>Russell Colson</cp:lastModifiedBy>
  <cp:revision>2</cp:revision>
  <cp:lastPrinted>2011-07-22T17:46:00Z</cp:lastPrinted>
  <dcterms:created xsi:type="dcterms:W3CDTF">2017-04-03T17:36:00Z</dcterms:created>
  <dcterms:modified xsi:type="dcterms:W3CDTF">2017-04-03T17:36:00Z</dcterms:modified>
</cp:coreProperties>
</file>